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方正小标宋简体" w:hAnsi="方正小标宋简体" w:eastAsia="方正小标宋简体" w:cs="方正小标宋简体"/>
          <w:b w:val="0"/>
          <w:bCs/>
          <w:sz w:val="36"/>
          <w:szCs w:val="36"/>
        </w:rPr>
      </w:pPr>
    </w:p>
    <w:p>
      <w:pPr>
        <w:widowControl/>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汕尾职业技术学院工程项目预</w:t>
      </w: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rPr>
        <w:t>结</w:t>
      </w: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rPr>
        <w:t>算审核服务采购项目</w:t>
      </w:r>
    </w:p>
    <w:p>
      <w:pPr>
        <w:widowControl/>
        <w:jc w:val="left"/>
        <w:rPr>
          <w:rFonts w:asciiTheme="minorEastAsia" w:hAnsiTheme="minorEastAsia"/>
          <w:b/>
          <w:sz w:val="36"/>
          <w:szCs w:val="36"/>
        </w:rPr>
      </w:pPr>
    </w:p>
    <w:p>
      <w:pPr>
        <w:widowControl/>
        <w:jc w:val="left"/>
        <w:rPr>
          <w:rFonts w:asciiTheme="minorEastAsia" w:hAnsiTheme="minorEastAsia"/>
          <w:b/>
          <w:sz w:val="36"/>
          <w:szCs w:val="36"/>
        </w:rPr>
      </w:pPr>
    </w:p>
    <w:p>
      <w:pPr>
        <w:widowControl/>
        <w:jc w:val="left"/>
        <w:rPr>
          <w:rFonts w:asciiTheme="minorEastAsia" w:hAnsiTheme="minorEastAsia"/>
          <w:b/>
          <w:sz w:val="36"/>
          <w:szCs w:val="36"/>
        </w:rPr>
      </w:pPr>
    </w:p>
    <w:p>
      <w:pPr>
        <w:widowControl/>
        <w:jc w:val="center"/>
        <w:rPr>
          <w:rFonts w:ascii="仿宋_GB2312" w:hAnsi="宋体" w:eastAsia="仿宋_GB2312"/>
          <w:sz w:val="28"/>
          <w:szCs w:val="28"/>
        </w:rPr>
      </w:pPr>
    </w:p>
    <w:p>
      <w:pPr>
        <w:autoSpaceDE w:val="0"/>
        <w:autoSpaceDN w:val="0"/>
        <w:spacing w:line="500" w:lineRule="exact"/>
        <w:ind w:firstLine="560" w:firstLineChars="200"/>
        <w:rPr>
          <w:rFonts w:ascii="仿宋_GB2312" w:hAnsi="宋体" w:eastAsia="仿宋_GB2312"/>
          <w:sz w:val="28"/>
          <w:szCs w:val="28"/>
        </w:rPr>
      </w:pPr>
    </w:p>
    <w:p>
      <w:pPr>
        <w:autoSpaceDE w:val="0"/>
        <w:autoSpaceDN w:val="0"/>
        <w:spacing w:line="500" w:lineRule="exact"/>
        <w:jc w:val="center"/>
        <w:rPr>
          <w:rFonts w:ascii="黑体" w:hAnsi="黑体" w:eastAsia="黑体"/>
          <w:sz w:val="52"/>
          <w:szCs w:val="52"/>
        </w:rPr>
      </w:pPr>
      <w:r>
        <w:rPr>
          <w:rFonts w:hint="eastAsia" w:ascii="黑体" w:hAnsi="黑体" w:eastAsia="黑体"/>
          <w:sz w:val="52"/>
          <w:szCs w:val="52"/>
          <w:lang w:eastAsia="zh-CN"/>
        </w:rPr>
        <w:t>用户</w:t>
      </w:r>
      <w:r>
        <w:rPr>
          <w:rFonts w:hint="eastAsia" w:ascii="黑体" w:hAnsi="黑体" w:eastAsia="黑体"/>
          <w:sz w:val="52"/>
          <w:szCs w:val="52"/>
        </w:rPr>
        <w:t>需求书</w:t>
      </w:r>
    </w:p>
    <w:p>
      <w:pPr>
        <w:autoSpaceDE w:val="0"/>
        <w:autoSpaceDN w:val="0"/>
        <w:spacing w:line="500" w:lineRule="exact"/>
        <w:ind w:firstLine="1044" w:firstLineChars="200"/>
        <w:jc w:val="center"/>
        <w:rPr>
          <w:rFonts w:ascii="黑体" w:hAnsi="黑体" w:eastAsia="黑体"/>
          <w:b/>
          <w:sz w:val="52"/>
          <w:szCs w:val="52"/>
        </w:rPr>
      </w:pPr>
    </w:p>
    <w:p>
      <w:pPr>
        <w:autoSpaceDE w:val="0"/>
        <w:autoSpaceDN w:val="0"/>
        <w:spacing w:line="500" w:lineRule="exact"/>
        <w:ind w:firstLine="1044" w:firstLineChars="200"/>
        <w:jc w:val="center"/>
        <w:rPr>
          <w:rFonts w:ascii="黑体" w:hAnsi="黑体" w:eastAsia="黑体"/>
          <w:b/>
          <w:sz w:val="52"/>
          <w:szCs w:val="52"/>
        </w:rPr>
      </w:pPr>
    </w:p>
    <w:p>
      <w:pPr>
        <w:autoSpaceDE w:val="0"/>
        <w:autoSpaceDN w:val="0"/>
        <w:spacing w:line="500" w:lineRule="exact"/>
        <w:ind w:firstLine="1044" w:firstLineChars="200"/>
        <w:jc w:val="center"/>
        <w:rPr>
          <w:rFonts w:ascii="黑体" w:hAnsi="黑体" w:eastAsia="黑体"/>
          <w:b/>
          <w:sz w:val="52"/>
          <w:szCs w:val="52"/>
        </w:rPr>
      </w:pPr>
    </w:p>
    <w:p>
      <w:pPr>
        <w:autoSpaceDE w:val="0"/>
        <w:autoSpaceDN w:val="0"/>
        <w:spacing w:line="500" w:lineRule="exact"/>
        <w:ind w:firstLine="1044" w:firstLineChars="200"/>
        <w:jc w:val="center"/>
        <w:rPr>
          <w:rFonts w:ascii="黑体" w:hAnsi="黑体" w:eastAsia="黑体"/>
          <w:b/>
          <w:sz w:val="52"/>
          <w:szCs w:val="52"/>
        </w:rPr>
      </w:pPr>
    </w:p>
    <w:p>
      <w:pPr>
        <w:autoSpaceDE w:val="0"/>
        <w:autoSpaceDN w:val="0"/>
        <w:spacing w:line="500" w:lineRule="exact"/>
        <w:ind w:firstLine="1044" w:firstLineChars="200"/>
        <w:jc w:val="center"/>
        <w:rPr>
          <w:rFonts w:ascii="黑体" w:hAnsi="黑体" w:eastAsia="黑体"/>
          <w:b/>
          <w:sz w:val="52"/>
          <w:szCs w:val="52"/>
        </w:rPr>
      </w:pPr>
    </w:p>
    <w:p>
      <w:pPr>
        <w:autoSpaceDE w:val="0"/>
        <w:autoSpaceDN w:val="0"/>
        <w:spacing w:line="500" w:lineRule="exact"/>
        <w:ind w:firstLine="1044" w:firstLineChars="200"/>
        <w:jc w:val="center"/>
        <w:rPr>
          <w:rFonts w:ascii="黑体" w:hAnsi="黑体" w:eastAsia="黑体"/>
          <w:b/>
          <w:sz w:val="52"/>
          <w:szCs w:val="52"/>
        </w:rPr>
      </w:pPr>
    </w:p>
    <w:p>
      <w:pPr>
        <w:autoSpaceDE w:val="0"/>
        <w:autoSpaceDN w:val="0"/>
        <w:spacing w:line="500" w:lineRule="exact"/>
        <w:ind w:firstLine="1044" w:firstLineChars="200"/>
        <w:jc w:val="center"/>
        <w:rPr>
          <w:rFonts w:ascii="黑体" w:hAnsi="黑体" w:eastAsia="黑体"/>
          <w:b/>
          <w:sz w:val="52"/>
          <w:szCs w:val="52"/>
        </w:rPr>
      </w:pPr>
    </w:p>
    <w:p>
      <w:pPr>
        <w:autoSpaceDE w:val="0"/>
        <w:autoSpaceDN w:val="0"/>
        <w:spacing w:line="500" w:lineRule="exact"/>
        <w:ind w:firstLine="1044" w:firstLineChars="200"/>
        <w:jc w:val="center"/>
        <w:rPr>
          <w:rFonts w:ascii="黑体" w:hAnsi="黑体" w:eastAsia="黑体"/>
          <w:b/>
          <w:sz w:val="52"/>
          <w:szCs w:val="52"/>
        </w:rPr>
      </w:pPr>
    </w:p>
    <w:p>
      <w:pPr>
        <w:autoSpaceDE w:val="0"/>
        <w:autoSpaceDN w:val="0"/>
        <w:spacing w:line="500" w:lineRule="exact"/>
        <w:ind w:firstLine="1044" w:firstLineChars="200"/>
        <w:jc w:val="center"/>
        <w:rPr>
          <w:rFonts w:ascii="黑体" w:hAnsi="黑体" w:eastAsia="黑体"/>
          <w:b/>
          <w:sz w:val="52"/>
          <w:szCs w:val="52"/>
        </w:rPr>
      </w:pPr>
    </w:p>
    <w:p>
      <w:pPr>
        <w:autoSpaceDE w:val="0"/>
        <w:autoSpaceDN w:val="0"/>
        <w:spacing w:line="500" w:lineRule="exact"/>
        <w:ind w:firstLine="1044" w:firstLineChars="200"/>
        <w:jc w:val="center"/>
        <w:rPr>
          <w:rFonts w:ascii="黑体" w:hAnsi="黑体" w:eastAsia="黑体"/>
          <w:b/>
          <w:sz w:val="52"/>
          <w:szCs w:val="52"/>
        </w:rPr>
      </w:pPr>
    </w:p>
    <w:p>
      <w:pPr>
        <w:autoSpaceDE w:val="0"/>
        <w:autoSpaceDN w:val="0"/>
        <w:spacing w:line="500" w:lineRule="exact"/>
        <w:ind w:firstLine="1044" w:firstLineChars="200"/>
        <w:jc w:val="center"/>
        <w:rPr>
          <w:rFonts w:ascii="黑体" w:hAnsi="黑体" w:eastAsia="黑体"/>
          <w:b/>
          <w:sz w:val="52"/>
          <w:szCs w:val="52"/>
        </w:rPr>
      </w:pPr>
    </w:p>
    <w:p>
      <w:pPr>
        <w:autoSpaceDE w:val="0"/>
        <w:autoSpaceDN w:val="0"/>
        <w:spacing w:line="500" w:lineRule="exact"/>
        <w:ind w:firstLine="1040" w:firstLineChars="200"/>
        <w:jc w:val="center"/>
        <w:rPr>
          <w:rFonts w:ascii="黑体" w:hAnsi="黑体" w:eastAsia="黑体"/>
          <w:sz w:val="52"/>
          <w:szCs w:val="52"/>
        </w:rPr>
      </w:pPr>
    </w:p>
    <w:p>
      <w:pPr>
        <w:autoSpaceDE w:val="0"/>
        <w:autoSpaceDN w:val="0"/>
        <w:spacing w:line="500" w:lineRule="exact"/>
        <w:ind w:firstLine="560" w:firstLineChars="200"/>
        <w:rPr>
          <w:rFonts w:ascii="仿宋_GB2312" w:hAnsi="宋体" w:eastAsia="仿宋_GB2312"/>
          <w:sz w:val="28"/>
          <w:szCs w:val="28"/>
        </w:rPr>
      </w:pPr>
    </w:p>
    <w:p>
      <w:pPr>
        <w:widowControl/>
        <w:adjustRightInd w:val="0"/>
        <w:snapToGrid w:val="0"/>
        <w:spacing w:line="300" w:lineRule="auto"/>
        <w:jc w:val="center"/>
        <w:rPr>
          <w:rFonts w:asciiTheme="minorEastAsia" w:hAnsiTheme="minorEastAsia"/>
          <w:b/>
          <w:sz w:val="36"/>
          <w:szCs w:val="36"/>
        </w:rPr>
      </w:pPr>
      <w:r>
        <w:rPr>
          <w:rFonts w:hint="eastAsia" w:asciiTheme="minorEastAsia" w:hAnsiTheme="minorEastAsia"/>
          <w:b/>
          <w:sz w:val="36"/>
          <w:szCs w:val="36"/>
          <w:lang w:eastAsia="zh-CN"/>
        </w:rPr>
        <w:t>汕尾职业技术学院</w:t>
      </w:r>
      <w:r>
        <w:rPr>
          <w:rFonts w:hint="eastAsia" w:asciiTheme="minorEastAsia" w:hAnsiTheme="minorEastAsia"/>
          <w:b/>
          <w:sz w:val="36"/>
          <w:szCs w:val="36"/>
        </w:rPr>
        <w:t>监察审计处</w:t>
      </w:r>
    </w:p>
    <w:p>
      <w:pPr>
        <w:widowControl/>
        <w:adjustRightInd w:val="0"/>
        <w:snapToGrid w:val="0"/>
        <w:spacing w:line="300" w:lineRule="auto"/>
        <w:jc w:val="center"/>
        <w:rPr>
          <w:rFonts w:asciiTheme="minorEastAsia" w:hAnsiTheme="minorEastAsia"/>
          <w:b/>
          <w:sz w:val="36"/>
          <w:szCs w:val="36"/>
        </w:rPr>
      </w:pPr>
      <w:r>
        <w:rPr>
          <w:rFonts w:hint="eastAsia" w:asciiTheme="minorEastAsia" w:hAnsiTheme="minorEastAsia"/>
          <w:b/>
          <w:sz w:val="36"/>
          <w:szCs w:val="36"/>
        </w:rPr>
        <w:t>2020年2月18日</w:t>
      </w:r>
    </w:p>
    <w:p>
      <w:pPr>
        <w:widowControl/>
        <w:adjustRightInd w:val="0"/>
        <w:snapToGrid w:val="0"/>
        <w:spacing w:line="300" w:lineRule="auto"/>
        <w:jc w:val="center"/>
        <w:rPr>
          <w:rFonts w:ascii="仿宋_GB2312" w:eastAsia="仿宋_GB2312"/>
          <w:b/>
          <w:bCs/>
          <w:sz w:val="28"/>
          <w:szCs w:val="28"/>
        </w:rPr>
      </w:pPr>
    </w:p>
    <w:p>
      <w:pPr>
        <w:pStyle w:val="27"/>
        <w:tabs>
          <w:tab w:val="left" w:pos="1110"/>
        </w:tabs>
        <w:spacing w:after="0"/>
        <w:ind w:firstLine="643" w:firstLineChars="200"/>
        <w:jc w:val="both"/>
        <w:rPr>
          <w:rFonts w:hint="eastAsia" w:ascii="宋体" w:hAnsi="宋体"/>
          <w:b/>
          <w:sz w:val="32"/>
          <w:szCs w:val="32"/>
        </w:rPr>
      </w:pPr>
      <w:r>
        <w:rPr>
          <w:rFonts w:hint="eastAsia" w:ascii="宋体" w:hAnsi="宋体"/>
          <w:b/>
          <w:sz w:val="32"/>
          <w:szCs w:val="32"/>
        </w:rPr>
        <w:t>汕尾职业技术学院征集</w:t>
      </w:r>
      <w:r>
        <w:rPr>
          <w:rFonts w:hint="eastAsia" w:ascii="宋体" w:hAnsi="宋体"/>
          <w:b/>
          <w:sz w:val="32"/>
          <w:szCs w:val="32"/>
          <w:lang w:eastAsia="zh-CN"/>
        </w:rPr>
        <w:t>工程造价咨询</w:t>
      </w:r>
      <w:r>
        <w:rPr>
          <w:rFonts w:hint="eastAsia"/>
          <w:b/>
          <w:sz w:val="32"/>
          <w:szCs w:val="32"/>
          <w:lang w:eastAsia="zh-CN"/>
        </w:rPr>
        <w:t>服务</w:t>
      </w:r>
      <w:r>
        <w:rPr>
          <w:rFonts w:hint="eastAsia" w:ascii="宋体" w:hAnsi="宋体"/>
          <w:b/>
          <w:sz w:val="32"/>
          <w:szCs w:val="32"/>
          <w:lang w:eastAsia="zh-CN"/>
        </w:rPr>
        <w:t>中介</w:t>
      </w:r>
      <w:r>
        <w:rPr>
          <w:rFonts w:hint="eastAsia" w:ascii="宋体" w:hAnsi="宋体"/>
          <w:b/>
          <w:sz w:val="32"/>
          <w:szCs w:val="32"/>
        </w:rPr>
        <w:t>机构</w:t>
      </w:r>
    </w:p>
    <w:p>
      <w:pPr>
        <w:pStyle w:val="27"/>
        <w:tabs>
          <w:tab w:val="left" w:pos="1110"/>
        </w:tabs>
        <w:spacing w:after="0"/>
        <w:ind w:firstLine="643" w:firstLineChars="200"/>
        <w:jc w:val="center"/>
        <w:rPr>
          <w:rFonts w:hint="eastAsia" w:ascii="仿宋_GB2312" w:hAnsi="仿宋_GB2312" w:eastAsia="宋体" w:cs="仿宋_GB2312"/>
          <w:sz w:val="32"/>
          <w:szCs w:val="32"/>
          <w:lang w:val="en-US" w:eastAsia="zh-CN"/>
        </w:rPr>
      </w:pPr>
      <w:r>
        <w:rPr>
          <w:rFonts w:hint="eastAsia"/>
          <w:b/>
          <w:sz w:val="32"/>
          <w:szCs w:val="32"/>
          <w:lang w:eastAsia="zh-CN"/>
        </w:rPr>
        <w:t>需求书</w:t>
      </w:r>
    </w:p>
    <w:p>
      <w:pPr>
        <w:pStyle w:val="27"/>
        <w:tabs>
          <w:tab w:val="left" w:pos="1110"/>
        </w:tabs>
        <w:spacing w:after="0"/>
        <w:ind w:firstLine="560" w:firstLineChars="200"/>
        <w:jc w:val="both"/>
        <w:rPr>
          <w:rFonts w:hint="eastAsia" w:ascii="仿宋_GB2312" w:hAnsi="仿宋_GB2312" w:eastAsia="仿宋_GB2312" w:cs="仿宋_GB2312"/>
          <w:sz w:val="28"/>
          <w:szCs w:val="28"/>
          <w:lang w:val="en-US" w:eastAsia="zh-CN"/>
        </w:rPr>
      </w:pPr>
    </w:p>
    <w:p>
      <w:pPr>
        <w:pStyle w:val="27"/>
        <w:tabs>
          <w:tab w:val="left" w:pos="1110"/>
        </w:tabs>
        <w:spacing w:after="0"/>
        <w:ind w:left="0" w:leftChars="0" w:firstLine="560" w:firstLineChars="200"/>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w:t>
      </w:r>
      <w:r>
        <w:rPr>
          <w:rFonts w:hint="eastAsia" w:ascii="仿宋_GB2312" w:hAnsi="仿宋_GB2312" w:eastAsia="仿宋_GB2312" w:cs="仿宋_GB2312"/>
          <w:color w:val="auto"/>
          <w:kern w:val="2"/>
          <w:sz w:val="28"/>
          <w:szCs w:val="28"/>
          <w:lang w:val="en-US" w:eastAsia="zh-CN" w:bidi="ar-SA"/>
        </w:rPr>
        <w:t>项目名称：汕尾职业技术学院征集工程造价咨询服务中介机构</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二、采购项目预算：</w:t>
      </w:r>
    </w:p>
    <w:p>
      <w:pPr>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本项目采购总</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200000.00元</w:t>
      </w:r>
      <w:r>
        <w:rPr>
          <w:rFonts w:hint="eastAsia" w:ascii="仿宋_GB2312" w:hAnsi="仿宋_GB2312" w:eastAsia="仿宋_GB2312" w:cs="仿宋_GB2312"/>
          <w:sz w:val="28"/>
          <w:szCs w:val="28"/>
          <w:lang w:eastAsia="zh-CN"/>
        </w:rPr>
        <w:t>。（按折扣率报价、以实际审核数量结算）。</w:t>
      </w:r>
    </w:p>
    <w:p>
      <w:pPr>
        <w:snapToGrid w:val="0"/>
        <w:ind w:right="-525" w:rightChars="-250" w:firstLine="560" w:firstLineChars="200"/>
        <w:rPr>
          <w:rFonts w:hint="eastAsia" w:ascii="仿宋" w:hAnsi="仿宋" w:eastAsia="仿宋" w:cs="仿宋"/>
          <w:sz w:val="28"/>
          <w:szCs w:val="28"/>
          <w:lang w:val="en-US" w:eastAsia="zh-CN"/>
        </w:rPr>
      </w:pPr>
      <w:bookmarkStart w:id="0" w:name="bookmark2"/>
      <w:r>
        <w:rPr>
          <w:rFonts w:hint="eastAsia" w:ascii="仿宋_GB2312" w:hAnsi="仿宋_GB2312" w:eastAsia="仿宋_GB2312" w:cs="仿宋_GB2312"/>
          <w:color w:val="auto"/>
          <w:kern w:val="2"/>
          <w:sz w:val="28"/>
          <w:szCs w:val="28"/>
          <w:lang w:val="en-US" w:eastAsia="zh-CN" w:bidi="ar-SA"/>
        </w:rPr>
        <w:t>三</w:t>
      </w:r>
      <w:bookmarkEnd w:id="0"/>
      <w:r>
        <w:rPr>
          <w:rFonts w:hint="eastAsia" w:ascii="仿宋_GB2312" w:hAnsi="仿宋_GB2312" w:eastAsia="仿宋_GB2312" w:cs="仿宋_GB2312"/>
          <w:color w:val="auto"/>
          <w:kern w:val="2"/>
          <w:sz w:val="28"/>
          <w:szCs w:val="28"/>
          <w:lang w:val="en-US" w:eastAsia="zh-CN" w:bidi="ar-SA"/>
        </w:rPr>
        <w:t>、采购方式：</w:t>
      </w:r>
      <w:r>
        <w:rPr>
          <w:rFonts w:hint="eastAsia" w:ascii="仿宋" w:hAnsi="仿宋" w:eastAsia="仿宋" w:cs="仿宋"/>
          <w:color w:val="auto"/>
          <w:kern w:val="2"/>
          <w:sz w:val="28"/>
          <w:szCs w:val="28"/>
          <w:lang w:val="en-US" w:eastAsia="zh-CN" w:bidi="ar-SA"/>
        </w:rPr>
        <w:t>采购人</w:t>
      </w:r>
      <w:r>
        <w:rPr>
          <w:rFonts w:hint="eastAsia" w:ascii="仿宋" w:hAnsi="仿宋" w:eastAsia="仿宋" w:cs="仿宋"/>
          <w:sz w:val="28"/>
          <w:szCs w:val="28"/>
          <w:lang w:eastAsia="zh-CN"/>
        </w:rPr>
        <w:t>组成专家评审小组，对符合报名条件的供应商提供的相关材料和报价，进行综合评审，择优选择拟成交供应商</w:t>
      </w:r>
      <w:r>
        <w:rPr>
          <w:rFonts w:hint="eastAsia" w:ascii="仿宋" w:hAnsi="仿宋" w:eastAsia="仿宋" w:cs="仿宋"/>
          <w:sz w:val="28"/>
          <w:szCs w:val="28"/>
          <w:lang w:val="en-US" w:eastAsia="zh-CN"/>
        </w:rPr>
        <w:t>1名，通过广东省网上中介超市直接选取方式，确定成交供应商。</w:t>
      </w:r>
    </w:p>
    <w:p>
      <w:pPr>
        <w:pStyle w:val="28"/>
        <w:tabs>
          <w:tab w:val="left" w:pos="1115"/>
        </w:tabs>
        <w:spacing w:after="0" w:line="240" w:lineRule="auto"/>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四、供应商资格条件：</w:t>
      </w:r>
      <w:bookmarkStart w:id="1" w:name="bookmark4"/>
    </w:p>
    <w:p>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15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1．供应商应具备《政府采购法》第二十二条规定的条件，提供下列材料：</w:t>
      </w:r>
    </w:p>
    <w:p>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15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1）供应商必须是具有独立承担民事责任能力的在中华人民共和国境内注册的法人或其他组织或自然人，投标时提交有效的营业执照（或事业法人登记证或身份证等相关证明）副本复印件。</w:t>
      </w:r>
    </w:p>
    <w:p>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15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2）供应商必须具有良好的商业信誉和健全的财务会计制度（提供最近年度财务状况报告或基本开户行出具的资信证明）。</w:t>
      </w:r>
    </w:p>
    <w:p>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15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3）有依法缴纳税收和社会保障资金的良好记录（提供投标截止日前6个月内任意1个月依法缴纳税收和社会保障资金的相关材料。如依法免税或不需要缴纳社会保障资金的，提供相应证明材料）。</w:t>
      </w:r>
    </w:p>
    <w:p>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15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4）具备履行合同所必需的设备和专业技术能力（</w:t>
      </w:r>
      <w:r>
        <w:rPr>
          <w:rFonts w:hint="eastAsia" w:ascii="仿宋_GB2312" w:hAnsi="仿宋_GB2312" w:eastAsia="仿宋_GB2312" w:cs="仿宋_GB2312"/>
          <w:sz w:val="28"/>
          <w:szCs w:val="28"/>
          <w:lang w:eastAsia="zh-CN"/>
        </w:rPr>
        <w:t>提供书面说明，加盖公章</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15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5）供应商参加政府采购活动前三年内，在经营活动中没有重大违法记录（</w:t>
      </w:r>
      <w:r>
        <w:rPr>
          <w:rFonts w:hint="eastAsia" w:ascii="仿宋_GB2312" w:hAnsi="仿宋_GB2312" w:eastAsia="仿宋_GB2312" w:cs="仿宋_GB2312"/>
          <w:sz w:val="28"/>
          <w:szCs w:val="28"/>
          <w:lang w:eastAsia="zh-CN"/>
        </w:rPr>
        <w:t>提供书面说明、加盖公章</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15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6）供应商必须符合法律、行政法规规定的其他条件（</w:t>
      </w:r>
      <w:r>
        <w:rPr>
          <w:rFonts w:hint="eastAsia" w:ascii="仿宋_GB2312" w:hAnsi="仿宋_GB2312" w:eastAsia="仿宋_GB2312" w:cs="仿宋_GB2312"/>
          <w:sz w:val="28"/>
          <w:szCs w:val="28"/>
          <w:lang w:eastAsia="zh-CN"/>
        </w:rPr>
        <w:t>提供书面说明、加盖公章</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15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机构于报价截止日当天在“信用中国”网站（www.creditchina.gov.cn）及中国政府采购网(www.ccgp.gov.cn)查询结果为准，如相关失信记录已失效，供应商需提供相关证明资料）</w:t>
      </w:r>
    </w:p>
    <w:p>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15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3.具有建设行政主管部门核发的工程造价咨询企业甲级资质的企业</w:t>
      </w:r>
      <w:r>
        <w:rPr>
          <w:rFonts w:hint="eastAsia" w:ascii="仿宋_GB2312" w:hAnsi="仿宋_GB2312" w:eastAsia="仿宋_GB2312" w:cs="仿宋_GB2312"/>
          <w:sz w:val="28"/>
          <w:szCs w:val="28"/>
          <w:lang w:eastAsia="zh-CN"/>
        </w:rPr>
        <w:t>（提供复印件、加盖公章）</w:t>
      </w:r>
      <w:r>
        <w:rPr>
          <w:rFonts w:hint="eastAsia" w:ascii="仿宋_GB2312" w:hAnsi="仿宋_GB2312" w:eastAsia="仿宋_GB2312" w:cs="仿宋_GB2312"/>
          <w:sz w:val="28"/>
          <w:szCs w:val="28"/>
        </w:rPr>
        <w:t>；</w:t>
      </w:r>
    </w:p>
    <w:p>
      <w:pPr>
        <w:pStyle w:val="2"/>
        <w:rPr>
          <w:rFonts w:hint="default" w:eastAsia="仿宋_GB2312"/>
          <w:lang w:val="en-US" w:eastAsia="zh-CN"/>
        </w:rPr>
      </w:pPr>
      <w:r>
        <w:rPr>
          <w:rFonts w:hint="eastAsia" w:ascii="仿宋_GB2312" w:hAnsi="仿宋_GB2312" w:eastAsia="仿宋_GB2312" w:cs="仿宋_GB2312"/>
          <w:sz w:val="28"/>
          <w:szCs w:val="28"/>
          <w:lang w:val="en-US" w:eastAsia="zh-CN"/>
        </w:rPr>
        <w:t xml:space="preserve">  4.己入驻广东省网上中介超市的中介机构；</w:t>
      </w:r>
    </w:p>
    <w:p>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15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.拟派项目负责人必须具备注册造价工程师执业资格</w:t>
      </w:r>
      <w:r>
        <w:rPr>
          <w:rFonts w:hint="eastAsia" w:ascii="仿宋_GB2312" w:hAnsi="仿宋_GB2312" w:eastAsia="仿宋_GB2312" w:cs="仿宋_GB2312"/>
          <w:sz w:val="28"/>
          <w:szCs w:val="28"/>
          <w:lang w:eastAsia="zh-CN"/>
        </w:rPr>
        <w:t>（提供复印件、加盖公章）</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15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 单位负责人为同一人或者存在直接控股、管理关系的不同供应商，不得同时参加本采购项目投标。</w:t>
      </w:r>
    </w:p>
    <w:p>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15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 为本项目提供整体设计、规范编制或者项目管理、监理、检测等服务的供应商，不得再参与本项目投标。</w:t>
      </w:r>
    </w:p>
    <w:bookmarkEnd w:id="1"/>
    <w:p>
      <w:pPr>
        <w:pStyle w:val="28"/>
        <w:spacing w:after="0" w:line="240" w:lineRule="auto"/>
        <w:ind w:left="0" w:leftChars="0" w:firstLine="560" w:firstLineChars="200"/>
        <w:jc w:val="both"/>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五、采购项目服务要求</w:t>
      </w:r>
    </w:p>
    <w:p>
      <w:pPr>
        <w:autoSpaceDE w:val="0"/>
        <w:autoSpaceDN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1、委托业务的范围：</w:t>
      </w:r>
      <w:r>
        <w:rPr>
          <w:rFonts w:hint="eastAsia" w:ascii="仿宋_GB2312" w:hAnsi="仿宋_GB2312" w:eastAsia="仿宋_GB2312" w:cs="仿宋_GB2312"/>
          <w:sz w:val="28"/>
          <w:szCs w:val="28"/>
          <w:lang w:eastAsia="zh-CN"/>
        </w:rPr>
        <w:t>承担</w:t>
      </w:r>
      <w:r>
        <w:rPr>
          <w:rFonts w:hint="eastAsia" w:ascii="仿宋_GB2312" w:hAnsi="仿宋_GB2312" w:eastAsia="仿宋_GB2312" w:cs="仿宋_GB2312"/>
          <w:sz w:val="28"/>
          <w:szCs w:val="28"/>
        </w:rPr>
        <w:t>汕尾职业技术学院</w:t>
      </w:r>
      <w:r>
        <w:rPr>
          <w:rFonts w:hint="eastAsia" w:ascii="仿宋_GB2312" w:hAnsi="仿宋_GB2312" w:eastAsia="仿宋_GB2312" w:cs="仿宋_GB2312"/>
          <w:sz w:val="28"/>
          <w:szCs w:val="28"/>
          <w:lang w:eastAsia="zh-CN"/>
        </w:rPr>
        <w:t>部分</w:t>
      </w:r>
      <w:r>
        <w:rPr>
          <w:rFonts w:hint="eastAsia" w:ascii="仿宋_GB2312" w:hAnsi="仿宋_GB2312" w:eastAsia="仿宋_GB2312" w:cs="仿宋_GB2312"/>
          <w:sz w:val="28"/>
          <w:szCs w:val="28"/>
        </w:rPr>
        <w:t>工程预、结算审核。</w:t>
      </w:r>
    </w:p>
    <w:p>
      <w:pPr>
        <w:autoSpaceDE w:val="0"/>
        <w:autoSpaceDN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2、审核工作时限：按采购人要求。</w:t>
      </w:r>
    </w:p>
    <w:p>
      <w:pPr>
        <w:autoSpaceDE w:val="0"/>
        <w:autoSpaceDN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3、服务要求</w:t>
      </w:r>
    </w:p>
    <w:p>
      <w:pPr>
        <w:autoSpaceDE w:val="0"/>
        <w:autoSpaceDN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成交供应商应严格按照国家和省市有关财务、基建管理、工程造价的法规、政策文件的有关规定、以及采购人工程预、结算审核的规定和对审核成果文件的要求，本着合理、合规节约的原则，客观、公正地开展工程预、结算审核工作，按时按质按量提供审核服务，对审核成果的真实性、准确性、完整性、合法性、合理性负责，并负责保密责任。</w:t>
      </w:r>
    </w:p>
    <w:p>
      <w:pPr>
        <w:autoSpaceDE w:val="0"/>
        <w:autoSpaceDN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成交供应商派出的工程预、结算审核人员，应完整、准确、真实反映并记录审核过程中的工作情况，做好审核资料、工作底稿整理、归集，并按采购人有关规定格式和质量要求提供审核结论和审核结果文件。</w:t>
      </w:r>
    </w:p>
    <w:p>
      <w:pPr>
        <w:autoSpaceDE w:val="0"/>
        <w:autoSpaceDN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（3）成交供应商审核的项目，审核人员必须为本项目报价响应时承诺的人员，如有变更，须报采购人批准，否则视为违约处理。</w:t>
      </w:r>
    </w:p>
    <w:p>
      <w:pPr>
        <w:autoSpaceDE w:val="0"/>
        <w:autoSpaceDN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（4）工程造价达到人民币1000万元（含本数）以上的结算项目，结算对数时必须由成交供应商的技术负责人参与。对技术上不能满足采购人技术要求的，采购人可另行委托其他公司进行审核。</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六、技术要求</w:t>
      </w:r>
    </w:p>
    <w:p>
      <w:pPr>
        <w:autoSpaceDE w:val="0"/>
        <w:autoSpaceDN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（1）成交供应商熟悉基建工程各专业的审核工作，并具有与成交供应商业务范围相对应的专业工程技术人员。</w:t>
      </w:r>
    </w:p>
    <w:p>
      <w:pPr>
        <w:autoSpaceDE w:val="0"/>
        <w:autoSpaceDN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（2）成交供应商应当具有足够的人力、物力等资源保证按时按质量完成采购人委托的审核业务。</w:t>
      </w:r>
    </w:p>
    <w:p>
      <w:pPr>
        <w:autoSpaceDE w:val="0"/>
        <w:autoSpaceDN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（3）成交供应商应有健全的组织机构，有完善的内控制度和质量保证体系以及技术经济档案管理制度，有良好的服务态度和较好的社会信誉。应提出保证项目审核质量和进度的措施。</w:t>
      </w:r>
    </w:p>
    <w:p>
      <w:pPr>
        <w:autoSpaceDE w:val="0"/>
        <w:autoSpaceDN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（4）成交供应商必须按采购人的要求明确拟派的审核人员名单。</w:t>
      </w:r>
    </w:p>
    <w:p>
      <w:pPr>
        <w:autoSpaceDE w:val="0"/>
        <w:autoSpaceDN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（5）拟派人员由公司负责人、管理人员、审核人员和复核人员（相关专业专家）组成，其中拟派的管理人员应具备丰富的工程审核管理经验，拟派的专业技术人员应具备3年以上工程造价工作经验。</w:t>
      </w:r>
    </w:p>
    <w:p>
      <w:pPr>
        <w:autoSpaceDE w:val="0"/>
        <w:autoSpaceDN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（6）中标人明确拟派审核人员必须熟悉工程造价管理政策，能充分胜任从事工程项目预、结算审核工作。拟派人员一经确定不得随意变更，确需变更的必须报采购人审批同意。</w:t>
      </w:r>
    </w:p>
    <w:p>
      <w:pPr>
        <w:autoSpaceDE w:val="0"/>
        <w:autoSpaceDN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成交供应商应在与采购人签订合同后10天内将报价响应时的拟派审核人员名单报采购人备案。</w:t>
      </w:r>
    </w:p>
    <w:p>
      <w:pPr>
        <w:autoSpaceDE w:val="0"/>
        <w:autoSpaceDN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具体项目审核人员由采购人按具体审核项目的工作量和专业提出审核人员人数和专业要求，成交供应商必须按采购人要求安排足够的审核人员参加审核工作，并明确各个项目的审核人员，如采购人认为成交供应商派出的审核人员不足以按期完成审核任务，成交供应商应按采购人要求增派符合要求的审核人员。如采购人认为成交供应商派出的审核人员不能胜任工作，采购人有权要求成交供应商更换审核人员，如仍不能符合采购人要求，采购人有权收回审核项目。</w:t>
      </w:r>
    </w:p>
    <w:p>
      <w:pPr>
        <w:autoSpaceDE w:val="0"/>
        <w:autoSpaceDN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（8）成交供应商必须具有保证业务需要的专业技术人员、交通工具、办公设备和造价审核管理软件。</w:t>
      </w:r>
    </w:p>
    <w:p>
      <w:pPr>
        <w:autoSpaceDE w:val="0"/>
        <w:autoSpaceDN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（9）成交供应商必须针对本项目制定服务计划及承诺书。</w:t>
      </w:r>
    </w:p>
    <w:p>
      <w:pPr>
        <w:autoSpaceDE w:val="0"/>
        <w:autoSpaceDN w:val="0"/>
        <w:spacing w:line="500" w:lineRule="exact"/>
        <w:ind w:firstLine="560" w:firstLineChars="200"/>
        <w:rPr>
          <w:rFonts w:hint="eastAsia" w:ascii="仿宋_GB2312" w:hAnsi="仿宋_GB2312" w:eastAsia="仿宋_GB2312" w:cs="仿宋_GB2312"/>
          <w:sz w:val="28"/>
          <w:szCs w:val="28"/>
          <w:lang w:val="hr-HR"/>
        </w:rPr>
      </w:pPr>
      <w:r>
        <w:rPr>
          <w:rFonts w:hint="eastAsia" w:ascii="仿宋_GB2312" w:hAnsi="仿宋_GB2312" w:eastAsia="仿宋_GB2312" w:cs="仿宋_GB2312"/>
          <w:sz w:val="28"/>
          <w:szCs w:val="28"/>
        </w:rPr>
        <w:t>（10）成交供应商须独立完成采购人委托的审核业务，不得将审核任务转让或分包给第三方。保证项目资料的完整，不得遗失、损坏项目资料，并按采购人的要求按期做好已完成项目的相关资料移交和归档工作。未经采购人同意，不得以任何形式向任何单位或个人披露审核项目有关的信息，不得对外提供、泄露审核有关情况。如成交供应商有相关违规情况，采购人可对其进行处罚，情节严重的取消其备选库资格，并可对其不良行为记录在相关公共媒体上予以通报。</w:t>
      </w:r>
    </w:p>
    <w:p>
      <w:pPr>
        <w:autoSpaceDE w:val="0"/>
        <w:autoSpaceDN w:val="0"/>
        <w:spacing w:line="500" w:lineRule="exact"/>
        <w:ind w:firstLine="562" w:firstLineChars="200"/>
        <w:rPr>
          <w:rFonts w:hint="eastAsia" w:ascii="仿宋_GB2312" w:hAnsi="仿宋_GB2312" w:eastAsia="仿宋_GB2312" w:cs="仿宋_GB2312"/>
          <w:b/>
          <w:sz w:val="28"/>
          <w:szCs w:val="28"/>
          <w:lang w:val="hr-HR"/>
        </w:rPr>
      </w:pPr>
      <w:r>
        <w:rPr>
          <w:rFonts w:hint="eastAsia" w:ascii="仿宋_GB2312" w:hAnsi="仿宋_GB2312" w:eastAsia="仿宋_GB2312" w:cs="仿宋_GB2312"/>
          <w:b/>
          <w:sz w:val="28"/>
          <w:szCs w:val="28"/>
          <w:lang w:val="hr-HR"/>
        </w:rPr>
        <w:t>七、采购其他商务要求</w:t>
      </w:r>
    </w:p>
    <w:p>
      <w:pPr>
        <w:autoSpaceDE w:val="0"/>
        <w:autoSpaceDN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成交供应商必须遵守采购人提出的各项规章制度和廉政纪律、保密规定和要求，按照采购人提出的工作规程和要求开展审核工作，成交供应商须配合采购人做好工程中标单位负责人和技术负责人的定期培训工作。</w:t>
      </w:r>
    </w:p>
    <w:p>
      <w:pPr>
        <w:autoSpaceDE w:val="0"/>
        <w:autoSpaceDN w:val="0"/>
        <w:spacing w:line="50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sz w:val="28"/>
          <w:szCs w:val="28"/>
        </w:rPr>
        <w:t>2、中介机构不得拒绝所服务项目的审核任务，否则采购人有权取消其服务资格。对专业有特别要求的项目和紧急项目</w:t>
      </w:r>
      <w:r>
        <w:rPr>
          <w:rFonts w:hint="eastAsia" w:ascii="仿宋_GB2312" w:hAnsi="仿宋_GB2312" w:eastAsia="仿宋_GB2312" w:cs="仿宋_GB2312"/>
          <w:color w:val="000000" w:themeColor="text1"/>
          <w:sz w:val="28"/>
          <w:szCs w:val="28"/>
          <w14:textFill>
            <w14:solidFill>
              <w14:schemeClr w14:val="tx1"/>
            </w14:solidFill>
          </w14:textFill>
        </w:rPr>
        <w:t>，由采购人根据实际需要在中标人名单中择优选择审核单位。</w:t>
      </w:r>
    </w:p>
    <w:p>
      <w:pPr>
        <w:autoSpaceDE w:val="0"/>
        <w:autoSpaceDN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3、采购人将对成交供应商完成的审核成果进行稽核、复审并按审核质量考核办法对其审核质量进行考核，成交供应商必须无条件配合采购人的稽核和复审、考核工作。</w:t>
      </w:r>
    </w:p>
    <w:p>
      <w:pPr>
        <w:autoSpaceDE w:val="0"/>
        <w:autoSpaceDN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4、成交供应商不得再接受除采购人外的其他委托人对所审同一项目的服务委托，即不能就同一项目既接受采购人的委托，又接受项目采购人、承包单位等相对利益关系人的委托。</w:t>
      </w:r>
    </w:p>
    <w:p>
      <w:pPr>
        <w:autoSpaceDE w:val="0"/>
        <w:autoSpaceDN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采购人不得委托成交供应商同时进行工程造价的预算编制、工程招标代理等。</w:t>
      </w:r>
    </w:p>
    <w:p>
      <w:pPr>
        <w:autoSpaceDE w:val="0"/>
        <w:autoSpaceDN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5、审核服务费的收费标准和支付</w:t>
      </w:r>
    </w:p>
    <w:p>
      <w:pPr>
        <w:autoSpaceDE w:val="0"/>
        <w:autoSpaceDN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（1）收费依据和计算方法参考广东省物价局（粤价函【2011】742号）等有关规定和地方有关规定执行。国家和地方没有规定的，由双方商定。</w:t>
      </w:r>
    </w:p>
    <w:p>
      <w:pPr>
        <w:autoSpaceDE w:val="0"/>
        <w:autoSpaceDN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（2）预算审核费结算价计算如下：</w:t>
      </w:r>
    </w:p>
    <w:p>
      <w:pPr>
        <w:autoSpaceDE w:val="0"/>
        <w:autoSpaceDN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工程预算审核费=审定造价×标准基本收费费率×中标下浮率。</w:t>
      </w:r>
    </w:p>
    <w:p>
      <w:pPr>
        <w:autoSpaceDE w:val="0"/>
        <w:autoSpaceDN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（3）结算审核费结算价计算如下：</w:t>
      </w:r>
    </w:p>
    <w:p>
      <w:pPr>
        <w:autoSpaceDE w:val="0"/>
        <w:autoSpaceDN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工程结算审核费=（审定造价×标准基本收费费率+（|核减额|+|核增额|）×标准效益收费费率）×中标下浮率。</w:t>
      </w:r>
    </w:p>
    <w:p>
      <w:pPr>
        <w:autoSpaceDE w:val="0"/>
        <w:autoSpaceDN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（4）单项委审服务费达不到2000元的，按2000元计付。</w:t>
      </w:r>
    </w:p>
    <w:p>
      <w:pPr>
        <w:autoSpaceDE w:val="0"/>
        <w:autoSpaceDN w:val="0"/>
        <w:spacing w:line="500" w:lineRule="exact"/>
        <w:ind w:firstLine="560" w:firstLineChars="200"/>
        <w:rPr>
          <w:rFonts w:hint="eastAsia" w:ascii="仿宋_GB2312" w:hAnsi="仿宋_GB2312" w:eastAsia="仿宋_GB2312" w:cs="仿宋_GB2312"/>
          <w:color w:val="FF0000"/>
          <w:sz w:val="28"/>
          <w:szCs w:val="28"/>
          <w:lang w:val="hr-HR"/>
        </w:rPr>
      </w:pPr>
      <w:r>
        <w:rPr>
          <w:rFonts w:hint="eastAsia" w:ascii="仿宋_GB2312" w:hAnsi="仿宋_GB2312" w:eastAsia="仿宋_GB2312" w:cs="仿宋_GB2312"/>
          <w:sz w:val="28"/>
          <w:szCs w:val="28"/>
        </w:rPr>
        <w:t>（5）因采购人原因和要求中途停止项目审核的，双方根据实际发生的工作量和项目进度情况确定服务费用。</w:t>
      </w:r>
    </w:p>
    <w:p>
      <w:pPr>
        <w:autoSpaceDE w:val="0"/>
        <w:autoSpaceDN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6、单项工程审核的误差率要求</w:t>
      </w:r>
    </w:p>
    <w:p>
      <w:pPr>
        <w:autoSpaceDE w:val="0"/>
        <w:autoSpaceDN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交供应商初审结果，审核结论误差率i（误差是指由于成交供应商审核人员的责任造成的差错。如错套定额、重项、漏项、工程量计算错误、高估冒算、没有到现场核实或现场核实不到位导致造价失实等。审核结论误差率i是指成交供应商定案金额与审计抽查的最后定案金额对比计算率）超过±3%（不含3%）的，将按以下规定处理：</w:t>
      </w:r>
    </w:p>
    <w:p>
      <w:pPr>
        <w:autoSpaceDE w:val="0"/>
        <w:autoSpaceDN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①3%＜i≤4%，1个月内暂停服务； </w:t>
      </w:r>
    </w:p>
    <w:p>
      <w:pPr>
        <w:autoSpaceDE w:val="0"/>
        <w:autoSpaceDN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②4%＜i≤5%，3个月内暂停服务；</w:t>
      </w:r>
    </w:p>
    <w:p>
      <w:pPr>
        <w:autoSpaceDE w:val="0"/>
        <w:autoSpaceDN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③5%＜i≤6%，扣除审核服务费的30%；</w:t>
      </w:r>
    </w:p>
    <w:p>
      <w:pPr>
        <w:autoSpaceDE w:val="0"/>
        <w:autoSpaceDN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④i＞6%，扣除全部审核服务费。</w:t>
      </w:r>
    </w:p>
    <w:p>
      <w:pPr>
        <w:autoSpaceDE w:val="0"/>
        <w:autoSpaceDN w:val="0"/>
        <w:spacing w:line="500" w:lineRule="exact"/>
        <w:ind w:firstLine="420" w:firstLineChars="150"/>
        <w:rPr>
          <w:rFonts w:hint="eastAsia" w:ascii="仿宋_GB2312" w:hAnsi="仿宋_GB2312" w:eastAsia="仿宋_GB2312" w:cs="仿宋_GB2312"/>
          <w:sz w:val="28"/>
          <w:szCs w:val="28"/>
          <w:lang w:val="hr-HR"/>
        </w:rPr>
      </w:pPr>
      <w:r>
        <w:rPr>
          <w:rFonts w:hint="eastAsia" w:ascii="仿宋_GB2312" w:hAnsi="仿宋_GB2312" w:eastAsia="仿宋_GB2312" w:cs="仿宋_GB2312"/>
          <w:sz w:val="28"/>
          <w:szCs w:val="28"/>
        </w:rPr>
        <w:t>（2）对于采购人已出具会议纪要或已认可的结算依据，之后被采购人监督部门复审后予以否定导致采购人重新定案的，不计入造价咨询机构审核误差率。</w:t>
      </w:r>
    </w:p>
    <w:p>
      <w:pPr>
        <w:autoSpaceDE w:val="0"/>
        <w:autoSpaceDN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7、对成交供应商的考核</w:t>
      </w:r>
    </w:p>
    <w:p>
      <w:pPr>
        <w:autoSpaceDE w:val="0"/>
        <w:autoSpaceDN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采购人审计处对成交供应商的人员情况和在审项目进展情况等进行考核。对人员考核经查不到位，不能按时完成委托项目的成交供应商将进行不良记录。</w:t>
      </w:r>
    </w:p>
    <w:p>
      <w:pPr>
        <w:spacing w:line="480" w:lineRule="atLeast"/>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8、报价供应商必须承诺当成交后出现下列情况之一，采购人即有权终止成交供应商的服务：</w:t>
      </w:r>
    </w:p>
    <w:p>
      <w:pPr>
        <w:spacing w:line="480" w:lineRule="atLeast"/>
        <w:ind w:firstLine="618" w:firstLineChars="22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（1）成交供应商在年度考核中被考核为不合格。</w:t>
      </w:r>
    </w:p>
    <w:p>
      <w:pPr>
        <w:spacing w:line="480" w:lineRule="atLeast"/>
        <w:ind w:firstLine="618" w:firstLineChars="22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（2）成交供应商及其法定代表人、汕尾分公司负责人、技术负责人有一方涉嫌经济或刑事犯罪被立案查处。</w:t>
      </w:r>
    </w:p>
    <w:p>
      <w:pPr>
        <w:spacing w:line="480" w:lineRule="atLeast"/>
        <w:ind w:firstLine="618" w:firstLineChars="22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（3）成交供应商因业务质量问题或违法违规行为受到行政处罚。</w:t>
      </w:r>
    </w:p>
    <w:p>
      <w:pPr>
        <w:spacing w:line="480" w:lineRule="atLeast"/>
        <w:ind w:firstLine="618" w:firstLineChars="22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（4）成交供应商已不具有建设行政主管部门颁发的工程造价咨询企业</w:t>
      </w:r>
      <w:r>
        <w:rPr>
          <w:rFonts w:hint="eastAsia" w:ascii="仿宋_GB2312" w:hAnsi="仿宋_GB2312" w:eastAsia="仿宋_GB2312" w:cs="仿宋_GB2312"/>
          <w:sz w:val="28"/>
          <w:szCs w:val="28"/>
          <w:lang w:eastAsia="zh-CN"/>
        </w:rPr>
        <w:t>甲</w:t>
      </w:r>
      <w:r>
        <w:rPr>
          <w:rFonts w:hint="eastAsia" w:ascii="仿宋_GB2312" w:hAnsi="仿宋_GB2312" w:eastAsia="仿宋_GB2312" w:cs="仿宋_GB2312"/>
          <w:sz w:val="28"/>
          <w:szCs w:val="28"/>
        </w:rPr>
        <w:t>级资质证书，或已不具备在</w:t>
      </w:r>
      <w:r>
        <w:rPr>
          <w:rFonts w:hint="eastAsia" w:ascii="仿宋_GB2312" w:hAnsi="仿宋_GB2312" w:eastAsia="仿宋_GB2312" w:cs="仿宋_GB2312"/>
          <w:sz w:val="28"/>
          <w:szCs w:val="28"/>
          <w:lang w:eastAsia="zh-CN"/>
        </w:rPr>
        <w:t>汕尾</w:t>
      </w:r>
      <w:r>
        <w:rPr>
          <w:rFonts w:hint="eastAsia" w:ascii="仿宋_GB2312" w:hAnsi="仿宋_GB2312" w:eastAsia="仿宋_GB2312" w:cs="仿宋_GB2312"/>
          <w:sz w:val="28"/>
          <w:szCs w:val="28"/>
        </w:rPr>
        <w:t>市区域范围内从事工程造价咨询业务资格。</w:t>
      </w:r>
    </w:p>
    <w:p>
      <w:pPr>
        <w:spacing w:line="480" w:lineRule="atLeast"/>
        <w:ind w:firstLine="618" w:firstLineChars="22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（5）无故拒绝采购人所委托的审核任务。</w:t>
      </w:r>
    </w:p>
    <w:p>
      <w:pPr>
        <w:spacing w:line="480" w:lineRule="atLeast"/>
        <w:ind w:firstLine="618" w:firstLineChars="221"/>
        <w:rPr>
          <w:rFonts w:hint="eastAsia" w:ascii="仿宋_GB2312" w:hAnsi="仿宋_GB2312" w:eastAsia="仿宋_GB2312" w:cs="仿宋_GB2312"/>
          <w:sz w:val="28"/>
          <w:szCs w:val="28"/>
          <w:lang w:val="en-US" w:eastAsia="zh-CN"/>
        </w:rPr>
      </w:pPr>
    </w:p>
    <w:p>
      <w:pPr>
        <w:spacing w:line="480" w:lineRule="atLeast"/>
        <w:ind w:firstLine="618" w:firstLineChars="221"/>
        <w:rPr>
          <w:rFonts w:hint="eastAsia" w:ascii="仿宋_GB2312" w:hAnsi="仿宋_GB2312" w:eastAsia="仿宋_GB2312" w:cs="仿宋_GB2312"/>
          <w:sz w:val="28"/>
          <w:szCs w:val="28"/>
          <w:lang w:val="en-US" w:eastAsia="zh-CN"/>
        </w:rPr>
      </w:pPr>
    </w:p>
    <w:p>
      <w:pPr>
        <w:spacing w:line="480" w:lineRule="atLeas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9、报价表（以折扣率报价）</w:t>
      </w:r>
    </w:p>
    <w:tbl>
      <w:tblPr>
        <w:tblStyle w:val="10"/>
        <w:tblW w:w="92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7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1843" w:type="dxa"/>
            <w:tcBorders>
              <w:bottom w:val="single" w:color="auto" w:sz="4" w:space="0"/>
            </w:tcBorders>
            <w:noWrap w:val="0"/>
            <w:vAlign w:val="center"/>
          </w:tcPr>
          <w:p>
            <w:pPr>
              <w:ind w:firstLine="0" w:firstLineChars="0"/>
              <w:jc w:val="center"/>
              <w:rPr>
                <w:rFonts w:ascii="宋体" w:hAnsi="宋体" w:cs="宋体"/>
              </w:rPr>
            </w:pPr>
            <w:r>
              <w:rPr>
                <w:rFonts w:hint="eastAsia" w:ascii="宋体" w:hAnsi="宋体" w:cs="宋体"/>
              </w:rPr>
              <w:t>项目名称</w:t>
            </w:r>
          </w:p>
        </w:tc>
        <w:tc>
          <w:tcPr>
            <w:tcW w:w="7409" w:type="dxa"/>
            <w:tcBorders>
              <w:bottom w:val="single" w:color="auto" w:sz="4" w:space="0"/>
            </w:tcBorders>
            <w:noWrap w:val="0"/>
            <w:vAlign w:val="center"/>
          </w:tcPr>
          <w:p>
            <w:pPr>
              <w:ind w:firstLine="0" w:firstLineChars="0"/>
              <w:jc w:val="center"/>
              <w:rPr>
                <w:rFonts w:ascii="宋体" w:hAnsi="宋体" w:cs="宋体"/>
              </w:rPr>
            </w:pPr>
            <w:r>
              <w:rPr>
                <w:rFonts w:hint="eastAsia" w:ascii="宋体" w:hAnsi="宋体" w:cs="宋体"/>
                <w:lang w:eastAsia="zh-CN"/>
              </w:rPr>
              <w:t>汕尾</w:t>
            </w:r>
            <w:r>
              <w:rPr>
                <w:rFonts w:hint="eastAsia" w:ascii="宋体" w:hAnsi="宋体" w:cs="宋体"/>
              </w:rPr>
              <w:t>职业技术学院</w:t>
            </w:r>
            <w:r>
              <w:rPr>
                <w:rFonts w:hint="eastAsia" w:ascii="宋体" w:hAnsi="宋体" w:cs="宋体"/>
                <w:lang w:eastAsia="zh-CN"/>
              </w:rPr>
              <w:t>征集工程造价咨询服务中介机构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1843" w:type="dxa"/>
            <w:tcBorders>
              <w:bottom w:val="single" w:color="auto" w:sz="4" w:space="0"/>
            </w:tcBorders>
            <w:noWrap w:val="0"/>
            <w:vAlign w:val="center"/>
          </w:tcPr>
          <w:p>
            <w:pPr>
              <w:ind w:firstLine="0" w:firstLineChars="0"/>
              <w:jc w:val="center"/>
              <w:rPr>
                <w:rFonts w:ascii="宋体" w:hAnsi="宋体" w:cs="宋体"/>
              </w:rPr>
            </w:pPr>
            <w:r>
              <w:rPr>
                <w:rFonts w:hint="eastAsia" w:ascii="宋体" w:hAnsi="宋体" w:cs="宋体"/>
              </w:rPr>
              <w:t>采购</w:t>
            </w:r>
            <w:r>
              <w:rPr>
                <w:rFonts w:ascii="宋体" w:hAnsi="宋体" w:cs="宋体"/>
              </w:rPr>
              <w:t>编号</w:t>
            </w:r>
          </w:p>
        </w:tc>
        <w:tc>
          <w:tcPr>
            <w:tcW w:w="7409" w:type="dxa"/>
            <w:tcBorders>
              <w:bottom w:val="single" w:color="auto" w:sz="4" w:space="0"/>
            </w:tcBorders>
            <w:noWrap w:val="0"/>
            <w:vAlign w:val="center"/>
          </w:tcPr>
          <w:p>
            <w:pPr>
              <w:ind w:firstLine="0" w:firstLineChars="0"/>
              <w:jc w:val="center"/>
              <w:rPr>
                <w:rFonts w:hint="default" w:ascii="宋体" w:hAnsi="宋体" w:eastAsia="宋体" w:cs="宋体"/>
                <w:lang w:val="en-US" w:eastAsia="zh-CN"/>
              </w:rPr>
            </w:pPr>
            <w:r>
              <w:rPr>
                <w:rFonts w:hint="eastAsia" w:ascii="宋体" w:hAnsi="宋体" w:cs="宋体"/>
                <w:lang w:val="en-US" w:eastAsia="zh-CN"/>
              </w:rPr>
              <w:t>SWZYCG2020-07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trPr>
        <w:tc>
          <w:tcPr>
            <w:tcW w:w="1843" w:type="dxa"/>
            <w:tcBorders>
              <w:bottom w:val="single" w:color="auto" w:sz="2" w:space="0"/>
            </w:tcBorders>
            <w:noWrap w:val="0"/>
            <w:vAlign w:val="center"/>
          </w:tcPr>
          <w:p>
            <w:pPr>
              <w:ind w:firstLine="0" w:firstLineChars="0"/>
              <w:jc w:val="center"/>
              <w:rPr>
                <w:rFonts w:hint="eastAsia" w:ascii="宋体" w:hAnsi="宋体" w:cs="宋体" w:eastAsiaTheme="minorEastAsia"/>
                <w:lang w:eastAsia="zh-CN"/>
              </w:rPr>
            </w:pPr>
            <w:r>
              <w:rPr>
                <w:rFonts w:hint="eastAsia" w:ascii="宋体" w:hAnsi="宋体" w:cs="宋体"/>
              </w:rPr>
              <w:t>总报价</w:t>
            </w:r>
            <w:r>
              <w:rPr>
                <w:rFonts w:hint="eastAsia" w:ascii="宋体" w:hAnsi="宋体" w:cs="宋体"/>
                <w:lang w:eastAsia="zh-CN"/>
              </w:rPr>
              <w:t>折扣率</w:t>
            </w:r>
          </w:p>
        </w:tc>
        <w:tc>
          <w:tcPr>
            <w:tcW w:w="7409" w:type="dxa"/>
            <w:tcBorders>
              <w:bottom w:val="single" w:color="auto" w:sz="2" w:space="0"/>
            </w:tcBorders>
            <w:noWrap w:val="0"/>
            <w:vAlign w:val="center"/>
          </w:tcPr>
          <w:p>
            <w:pPr>
              <w:ind w:left="630" w:leftChars="100" w:hanging="420" w:hangingChars="200"/>
              <w:rPr>
                <w:rFonts w:hint="default" w:ascii="宋体" w:hAnsi="宋体" w:cs="宋体" w:eastAsiaTheme="minorEastAsia"/>
                <w:lang w:val="en-US" w:eastAsia="zh-CN"/>
              </w:rPr>
            </w:pPr>
            <w:r>
              <w:rPr>
                <w:rFonts w:hint="eastAsia" w:ascii="宋体" w:hAnsi="宋体" w:cs="宋体"/>
                <w:lang w:val="en-US" w:eastAsia="zh-CN"/>
              </w:rPr>
              <w:t xml:space="preserve">                               %</w:t>
            </w:r>
          </w:p>
        </w:tc>
      </w:tr>
    </w:tbl>
    <w:p>
      <w:pPr>
        <w:spacing w:line="480" w:lineRule="atLeast"/>
        <w:ind w:firstLine="618" w:firstLineChars="221"/>
        <w:rPr>
          <w:rFonts w:hint="eastAsia" w:ascii="仿宋_GB2312" w:hAnsi="仿宋_GB2312" w:eastAsia="仿宋_GB2312" w:cs="仿宋_GB2312"/>
          <w:sz w:val="28"/>
          <w:szCs w:val="28"/>
          <w:lang w:val="en-US" w:eastAsia="zh-CN"/>
        </w:rPr>
      </w:pPr>
    </w:p>
    <w:p>
      <w:pPr>
        <w:numPr>
          <w:ilvl w:val="0"/>
          <w:numId w:val="1"/>
        </w:numPr>
        <w:spacing w:line="480" w:lineRule="atLeast"/>
        <w:ind w:firstLine="618" w:firstLineChars="22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付款方式：</w:t>
      </w:r>
    </w:p>
    <w:p>
      <w:pPr>
        <w:pStyle w:val="2"/>
        <w:numPr>
          <w:ilvl w:val="0"/>
          <w:numId w:val="0"/>
        </w:numPr>
        <w:rPr>
          <w:rFonts w:hint="default"/>
          <w:lang w:val="en-US" w:eastAsia="zh-CN"/>
        </w:rPr>
      </w:pPr>
      <w:r>
        <w:rPr>
          <w:rFonts w:hint="eastAsia"/>
          <w:lang w:val="en-US" w:eastAsia="zh-CN"/>
        </w:rPr>
        <w:t xml:space="preserve">      按合同约定。</w:t>
      </w:r>
    </w:p>
    <w:p>
      <w:pPr>
        <w:spacing w:line="440" w:lineRule="exact"/>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jc w:val="left"/>
        <w:rPr>
          <w:rFonts w:hint="eastAsia"/>
          <w:sz w:val="24"/>
          <w:u w:val="single"/>
        </w:rPr>
      </w:pPr>
    </w:p>
    <w:p>
      <w:pPr>
        <w:jc w:val="left"/>
        <w:rPr>
          <w:b/>
          <w:sz w:val="32"/>
          <w:szCs w:val="32"/>
        </w:rPr>
      </w:pPr>
      <w:r>
        <w:rPr>
          <w:rFonts w:hint="eastAsia"/>
          <w:sz w:val="24"/>
          <w:u w:val="single"/>
        </w:rPr>
        <w:t>附件：</w:t>
      </w:r>
    </w:p>
    <w:p>
      <w:pPr>
        <w:jc w:val="center"/>
        <w:rPr>
          <w:b/>
          <w:sz w:val="32"/>
          <w:szCs w:val="32"/>
        </w:rPr>
      </w:pPr>
      <w:r>
        <w:rPr>
          <w:rFonts w:hint="eastAsia"/>
          <w:b/>
          <w:sz w:val="32"/>
          <w:szCs w:val="32"/>
        </w:rPr>
        <w:t>汕尾职业技术学院</w:t>
      </w:r>
      <w:r>
        <w:rPr>
          <w:rFonts w:hint="eastAsia"/>
          <w:b/>
          <w:sz w:val="32"/>
          <w:szCs w:val="32"/>
          <w:lang w:eastAsia="zh-CN"/>
        </w:rPr>
        <w:t>征集工程造价咨询服务中介</w:t>
      </w:r>
      <w:r>
        <w:rPr>
          <w:b/>
          <w:sz w:val="32"/>
          <w:szCs w:val="32"/>
        </w:rPr>
        <w:t>机构报名表</w:t>
      </w:r>
    </w:p>
    <w:tbl>
      <w:tblPr>
        <w:tblStyle w:val="10"/>
        <w:tblW w:w="92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
        <w:gridCol w:w="2286"/>
        <w:gridCol w:w="1620"/>
        <w:gridCol w:w="711"/>
        <w:gridCol w:w="798"/>
        <w:gridCol w:w="1324"/>
        <w:gridCol w:w="1325"/>
        <w:gridCol w:w="1156"/>
        <w:gridCol w:w="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33" w:type="dxa"/>
          <w:trHeight w:val="833" w:hRule="atLeast"/>
          <w:jc w:val="center"/>
        </w:trPr>
        <w:tc>
          <w:tcPr>
            <w:tcW w:w="2314" w:type="dxa"/>
            <w:gridSpan w:val="2"/>
            <w:tcBorders>
              <w:top w:val="single" w:color="auto" w:sz="12" w:space="0"/>
              <w:left w:val="single" w:color="auto" w:sz="12" w:space="0"/>
              <w:bottom w:val="single" w:color="auto" w:sz="4" w:space="0"/>
              <w:right w:val="single" w:color="auto" w:sz="4" w:space="0"/>
            </w:tcBorders>
            <w:vAlign w:val="center"/>
          </w:tcPr>
          <w:p>
            <w:pPr>
              <w:topLinePunct/>
              <w:spacing w:line="440" w:lineRule="exact"/>
              <w:jc w:val="center"/>
              <w:rPr>
                <w:sz w:val="24"/>
              </w:rPr>
            </w:pPr>
            <w:r>
              <w:rPr>
                <w:rFonts w:hint="eastAsia"/>
                <w:sz w:val="24"/>
              </w:rPr>
              <w:t>申请人单位</w:t>
            </w:r>
            <w:r>
              <w:rPr>
                <w:sz w:val="24"/>
              </w:rPr>
              <w:t>名称</w:t>
            </w:r>
          </w:p>
          <w:p>
            <w:pPr>
              <w:topLinePunct/>
              <w:spacing w:line="440" w:lineRule="exact"/>
              <w:jc w:val="center"/>
              <w:rPr>
                <w:sz w:val="24"/>
              </w:rPr>
            </w:pPr>
            <w:r>
              <w:rPr>
                <w:rFonts w:hint="eastAsia"/>
                <w:sz w:val="24"/>
              </w:rPr>
              <w:t>（加盖单位公章）</w:t>
            </w:r>
          </w:p>
        </w:tc>
        <w:tc>
          <w:tcPr>
            <w:tcW w:w="6934" w:type="dxa"/>
            <w:gridSpan w:val="6"/>
            <w:tcBorders>
              <w:top w:val="single" w:color="auto" w:sz="12" w:space="0"/>
              <w:left w:val="single" w:color="auto" w:sz="4" w:space="0"/>
              <w:bottom w:val="single" w:color="auto" w:sz="4" w:space="0"/>
              <w:right w:val="single" w:color="auto" w:sz="12" w:space="0"/>
            </w:tcBorders>
            <w:vAlign w:val="center"/>
          </w:tcPr>
          <w:p>
            <w:pPr>
              <w:topLinePunct/>
              <w:spacing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33" w:type="dxa"/>
          <w:trHeight w:val="907" w:hRule="atLeast"/>
          <w:jc w:val="center"/>
        </w:trPr>
        <w:tc>
          <w:tcPr>
            <w:tcW w:w="2314" w:type="dxa"/>
            <w:gridSpan w:val="2"/>
            <w:tcBorders>
              <w:top w:val="single" w:color="auto" w:sz="4" w:space="0"/>
              <w:left w:val="single" w:color="auto" w:sz="12" w:space="0"/>
              <w:bottom w:val="single" w:color="auto" w:sz="4" w:space="0"/>
              <w:right w:val="single" w:color="auto" w:sz="4" w:space="0"/>
            </w:tcBorders>
            <w:vAlign w:val="center"/>
          </w:tcPr>
          <w:p>
            <w:pPr>
              <w:topLinePunct/>
              <w:spacing w:line="440" w:lineRule="exact"/>
              <w:jc w:val="center"/>
              <w:rPr>
                <w:sz w:val="24"/>
              </w:rPr>
            </w:pPr>
            <w:r>
              <w:rPr>
                <w:sz w:val="24"/>
              </w:rPr>
              <w:t>注册地址</w:t>
            </w:r>
          </w:p>
        </w:tc>
        <w:tc>
          <w:tcPr>
            <w:tcW w:w="312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 w:val="24"/>
              </w:rPr>
            </w:pPr>
          </w:p>
        </w:tc>
        <w:tc>
          <w:tcPr>
            <w:tcW w:w="132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 w:val="24"/>
              </w:rPr>
            </w:pPr>
            <w:r>
              <w:rPr>
                <w:sz w:val="24"/>
              </w:rPr>
              <w:t>成立时间</w:t>
            </w:r>
          </w:p>
          <w:p>
            <w:pPr>
              <w:topLinePunct/>
              <w:spacing w:line="440" w:lineRule="exact"/>
              <w:jc w:val="center"/>
              <w:rPr>
                <w:sz w:val="24"/>
              </w:rPr>
            </w:pPr>
            <w:r>
              <w:rPr>
                <w:rFonts w:hint="eastAsia"/>
                <w:sz w:val="24"/>
              </w:rPr>
              <w:t>成立年限</w:t>
            </w:r>
          </w:p>
        </w:tc>
        <w:tc>
          <w:tcPr>
            <w:tcW w:w="2481" w:type="dxa"/>
            <w:gridSpan w:val="2"/>
            <w:tcBorders>
              <w:top w:val="single" w:color="auto" w:sz="4" w:space="0"/>
              <w:left w:val="single" w:color="auto" w:sz="4" w:space="0"/>
              <w:bottom w:val="single" w:color="auto" w:sz="4" w:space="0"/>
              <w:right w:val="single" w:color="auto" w:sz="12" w:space="0"/>
            </w:tcBorders>
            <w:vAlign w:val="center"/>
          </w:tcPr>
          <w:p>
            <w:pPr>
              <w:topLinePunct/>
              <w:spacing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33" w:type="dxa"/>
          <w:trHeight w:val="903" w:hRule="atLeast"/>
          <w:jc w:val="center"/>
        </w:trPr>
        <w:tc>
          <w:tcPr>
            <w:tcW w:w="2314" w:type="dxa"/>
            <w:gridSpan w:val="2"/>
            <w:tcBorders>
              <w:top w:val="single" w:color="auto" w:sz="4" w:space="0"/>
              <w:left w:val="single" w:color="auto" w:sz="12" w:space="0"/>
              <w:bottom w:val="single" w:color="auto" w:sz="4" w:space="0"/>
              <w:right w:val="single" w:color="auto" w:sz="4" w:space="0"/>
            </w:tcBorders>
            <w:vAlign w:val="center"/>
          </w:tcPr>
          <w:p>
            <w:pPr>
              <w:topLinePunct/>
              <w:spacing w:line="440" w:lineRule="exact"/>
              <w:jc w:val="center"/>
              <w:rPr>
                <w:sz w:val="24"/>
              </w:rPr>
            </w:pPr>
            <w:r>
              <w:rPr>
                <w:sz w:val="24"/>
              </w:rPr>
              <w:t>法定代表人姓名</w:t>
            </w:r>
          </w:p>
        </w:tc>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 w:val="24"/>
              </w:rPr>
            </w:pPr>
          </w:p>
        </w:tc>
        <w:tc>
          <w:tcPr>
            <w:tcW w:w="150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eastAsia="宋体"/>
                <w:sz w:val="24"/>
                <w:lang w:val="en-US" w:eastAsia="zh-CN"/>
              </w:rPr>
            </w:pPr>
            <w:r>
              <w:rPr>
                <w:sz w:val="24"/>
              </w:rPr>
              <w:t>职称</w:t>
            </w:r>
            <w:r>
              <w:rPr>
                <w:rFonts w:hint="eastAsia"/>
                <w:b/>
                <w:bCs/>
                <w:sz w:val="24"/>
                <w:lang w:val="en-US" w:eastAsia="zh-CN"/>
              </w:rPr>
              <w:t>/</w:t>
            </w:r>
            <w:r>
              <w:rPr>
                <w:rFonts w:hint="eastAsia"/>
                <w:sz w:val="24"/>
                <w:lang w:val="en-US" w:eastAsia="zh-CN"/>
              </w:rPr>
              <w:t>职务</w:t>
            </w:r>
          </w:p>
        </w:tc>
        <w:tc>
          <w:tcPr>
            <w:tcW w:w="132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 w:val="24"/>
              </w:rPr>
            </w:pPr>
          </w:p>
        </w:tc>
        <w:tc>
          <w:tcPr>
            <w:tcW w:w="132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 w:val="24"/>
              </w:rPr>
            </w:pPr>
            <w:r>
              <w:rPr>
                <w:rFonts w:hint="eastAsia"/>
                <w:sz w:val="24"/>
              </w:rPr>
              <w:t>手机</w:t>
            </w:r>
          </w:p>
        </w:tc>
        <w:tc>
          <w:tcPr>
            <w:tcW w:w="1156" w:type="dxa"/>
            <w:tcBorders>
              <w:top w:val="single" w:color="auto" w:sz="4" w:space="0"/>
              <w:left w:val="single" w:color="auto" w:sz="4" w:space="0"/>
              <w:bottom w:val="single" w:color="auto" w:sz="4" w:space="0"/>
              <w:right w:val="single" w:color="auto" w:sz="12" w:space="0"/>
            </w:tcBorders>
            <w:vAlign w:val="center"/>
          </w:tcPr>
          <w:p>
            <w:pPr>
              <w:topLinePunct/>
              <w:spacing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33" w:type="dxa"/>
          <w:trHeight w:val="893" w:hRule="atLeast"/>
          <w:jc w:val="center"/>
        </w:trPr>
        <w:tc>
          <w:tcPr>
            <w:tcW w:w="2314" w:type="dxa"/>
            <w:gridSpan w:val="2"/>
            <w:tcBorders>
              <w:top w:val="single" w:color="auto" w:sz="4" w:space="0"/>
              <w:left w:val="single" w:color="auto" w:sz="12" w:space="0"/>
              <w:bottom w:val="single" w:color="auto" w:sz="4" w:space="0"/>
              <w:right w:val="single" w:color="auto" w:sz="4" w:space="0"/>
            </w:tcBorders>
            <w:vAlign w:val="center"/>
          </w:tcPr>
          <w:p>
            <w:pPr>
              <w:topLinePunct/>
              <w:spacing w:line="440" w:lineRule="exact"/>
              <w:jc w:val="center"/>
              <w:rPr>
                <w:sz w:val="24"/>
              </w:rPr>
            </w:pPr>
            <w:r>
              <w:rPr>
                <w:sz w:val="24"/>
              </w:rPr>
              <w:t>负责人</w:t>
            </w:r>
          </w:p>
        </w:tc>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 w:val="24"/>
              </w:rPr>
            </w:pPr>
          </w:p>
        </w:tc>
        <w:tc>
          <w:tcPr>
            <w:tcW w:w="150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 w:val="24"/>
              </w:rPr>
            </w:pPr>
            <w:r>
              <w:rPr>
                <w:sz w:val="24"/>
              </w:rPr>
              <w:t>职称</w:t>
            </w:r>
            <w:r>
              <w:rPr>
                <w:rFonts w:hint="eastAsia"/>
                <w:b/>
                <w:bCs/>
                <w:sz w:val="24"/>
                <w:lang w:val="en-US" w:eastAsia="zh-CN"/>
              </w:rPr>
              <w:t>/</w:t>
            </w:r>
            <w:r>
              <w:rPr>
                <w:rFonts w:hint="eastAsia"/>
                <w:sz w:val="24"/>
                <w:lang w:val="en-US" w:eastAsia="zh-CN"/>
              </w:rPr>
              <w:t>职务</w:t>
            </w:r>
          </w:p>
        </w:tc>
        <w:tc>
          <w:tcPr>
            <w:tcW w:w="132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 w:val="24"/>
              </w:rPr>
            </w:pPr>
          </w:p>
        </w:tc>
        <w:tc>
          <w:tcPr>
            <w:tcW w:w="132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 w:val="24"/>
              </w:rPr>
            </w:pPr>
            <w:r>
              <w:rPr>
                <w:rFonts w:hint="eastAsia"/>
                <w:sz w:val="24"/>
              </w:rPr>
              <w:t>手机</w:t>
            </w:r>
          </w:p>
        </w:tc>
        <w:tc>
          <w:tcPr>
            <w:tcW w:w="1156" w:type="dxa"/>
            <w:tcBorders>
              <w:top w:val="single" w:color="auto" w:sz="4" w:space="0"/>
              <w:left w:val="single" w:color="auto" w:sz="4" w:space="0"/>
              <w:bottom w:val="single" w:color="auto" w:sz="4" w:space="0"/>
              <w:right w:val="single" w:color="auto" w:sz="12" w:space="0"/>
            </w:tcBorders>
            <w:vAlign w:val="center"/>
          </w:tcPr>
          <w:p>
            <w:pPr>
              <w:topLinePunct/>
              <w:spacing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8" w:type="dxa"/>
          <w:cantSplit/>
          <w:trHeight w:val="698" w:hRule="atLeast"/>
          <w:jc w:val="center"/>
        </w:trPr>
        <w:tc>
          <w:tcPr>
            <w:tcW w:w="9253" w:type="dxa"/>
            <w:gridSpan w:val="8"/>
            <w:tcBorders>
              <w:left w:val="single" w:color="auto" w:sz="12" w:space="0"/>
              <w:right w:val="single" w:color="auto" w:sz="12" w:space="0"/>
            </w:tcBorders>
            <w:vAlign w:val="center"/>
          </w:tcPr>
          <w:p>
            <w:pPr>
              <w:jc w:val="center"/>
              <w:rPr>
                <w:rFonts w:hint="eastAsia" w:ascii="宋体" w:hAnsi="宋体" w:eastAsia="宋体"/>
                <w:color w:val="0000FF"/>
                <w:sz w:val="24"/>
                <w:lang w:eastAsia="zh-CN"/>
              </w:rPr>
            </w:pPr>
            <w:r>
              <w:rPr>
                <w:rFonts w:hint="eastAsia" w:ascii="宋体" w:hAnsi="宋体"/>
                <w:sz w:val="24"/>
              </w:rPr>
              <w:t>201</w:t>
            </w:r>
            <w:r>
              <w:rPr>
                <w:rFonts w:hint="eastAsia" w:ascii="宋体" w:hAnsi="宋体"/>
                <w:sz w:val="24"/>
                <w:lang w:val="en-US" w:eastAsia="zh-CN"/>
              </w:rPr>
              <w:t>8</w:t>
            </w:r>
            <w:r>
              <w:rPr>
                <w:rFonts w:hint="eastAsia" w:ascii="宋体" w:hAnsi="宋体"/>
                <w:sz w:val="24"/>
              </w:rPr>
              <w:t>年以来</w:t>
            </w:r>
            <w:r>
              <w:rPr>
                <w:rFonts w:hint="eastAsia" w:ascii="宋体" w:hAnsi="宋体"/>
                <w:sz w:val="24"/>
                <w:lang w:eastAsia="zh-CN"/>
              </w:rPr>
              <w:t>的主要</w:t>
            </w:r>
            <w:r>
              <w:rPr>
                <w:rFonts w:hint="eastAsia" w:ascii="宋体" w:hAnsi="宋体"/>
                <w:sz w:val="24"/>
              </w:rPr>
              <w:t>业绩</w:t>
            </w:r>
            <w:r>
              <w:rPr>
                <w:rFonts w:hint="eastAsia" w:ascii="宋体" w:hAnsi="宋体"/>
                <w:sz w:val="24"/>
                <w:lang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8" w:type="dxa"/>
          <w:cantSplit/>
          <w:trHeight w:val="686" w:hRule="atLeast"/>
          <w:jc w:val="center"/>
        </w:trPr>
        <w:tc>
          <w:tcPr>
            <w:tcW w:w="4617" w:type="dxa"/>
            <w:gridSpan w:val="3"/>
            <w:tcBorders>
              <w:left w:val="single" w:color="auto" w:sz="12" w:space="0"/>
            </w:tcBorders>
            <w:vAlign w:val="center"/>
          </w:tcPr>
          <w:p>
            <w:pPr>
              <w:jc w:val="center"/>
              <w:rPr>
                <w:rFonts w:ascii="宋体" w:hAnsi="宋体"/>
                <w:sz w:val="24"/>
              </w:rPr>
            </w:pPr>
            <w:r>
              <w:rPr>
                <w:rFonts w:hint="eastAsia" w:ascii="宋体" w:hAnsi="宋体"/>
                <w:sz w:val="24"/>
              </w:rPr>
              <w:t>时 间</w:t>
            </w:r>
          </w:p>
        </w:tc>
        <w:tc>
          <w:tcPr>
            <w:tcW w:w="4636" w:type="dxa"/>
            <w:gridSpan w:val="5"/>
            <w:tcBorders>
              <w:right w:val="single" w:color="auto" w:sz="12" w:space="0"/>
            </w:tcBorders>
            <w:vAlign w:val="center"/>
          </w:tcPr>
          <w:p>
            <w:pPr>
              <w:jc w:val="center"/>
              <w:rPr>
                <w:rFonts w:ascii="宋体" w:hAnsi="宋体"/>
                <w:sz w:val="24"/>
              </w:rPr>
            </w:pPr>
            <w:r>
              <w:rPr>
                <w:rFonts w:hint="eastAsia" w:ascii="宋体" w:hAnsi="宋体"/>
                <w:sz w:val="24"/>
              </w:rPr>
              <w:t>（项目名称、工作内容</w:t>
            </w:r>
            <w:r>
              <w:rPr>
                <w:rFonts w:hint="eastAsia" w:ascii="宋体" w:hAnsi="宋体"/>
                <w:sz w:val="24"/>
                <w:lang w:eastAsia="zh-CN"/>
              </w:rPr>
              <w:t>等</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8" w:type="dxa"/>
          <w:cantSplit/>
          <w:trHeight w:val="686" w:hRule="atLeast"/>
          <w:jc w:val="center"/>
        </w:trPr>
        <w:tc>
          <w:tcPr>
            <w:tcW w:w="4617" w:type="dxa"/>
            <w:gridSpan w:val="3"/>
            <w:tcBorders>
              <w:left w:val="single" w:color="auto" w:sz="12" w:space="0"/>
            </w:tcBorders>
            <w:vAlign w:val="center"/>
          </w:tcPr>
          <w:p>
            <w:pPr>
              <w:jc w:val="center"/>
              <w:rPr>
                <w:rFonts w:ascii="宋体" w:hAnsi="宋体"/>
                <w:sz w:val="24"/>
              </w:rPr>
            </w:pPr>
          </w:p>
        </w:tc>
        <w:tc>
          <w:tcPr>
            <w:tcW w:w="4636" w:type="dxa"/>
            <w:gridSpan w:val="5"/>
            <w:tcBorders>
              <w:right w:val="single" w:color="auto" w:sz="12"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8" w:type="dxa"/>
          <w:cantSplit/>
          <w:trHeight w:val="686" w:hRule="atLeast"/>
          <w:jc w:val="center"/>
        </w:trPr>
        <w:tc>
          <w:tcPr>
            <w:tcW w:w="4617" w:type="dxa"/>
            <w:gridSpan w:val="3"/>
            <w:tcBorders>
              <w:left w:val="single" w:color="auto" w:sz="12" w:space="0"/>
            </w:tcBorders>
            <w:vAlign w:val="center"/>
          </w:tcPr>
          <w:p>
            <w:pPr>
              <w:jc w:val="center"/>
              <w:rPr>
                <w:rFonts w:ascii="宋体" w:hAnsi="宋体"/>
                <w:sz w:val="24"/>
              </w:rPr>
            </w:pPr>
          </w:p>
        </w:tc>
        <w:tc>
          <w:tcPr>
            <w:tcW w:w="4636" w:type="dxa"/>
            <w:gridSpan w:val="5"/>
            <w:tcBorders>
              <w:right w:val="single" w:color="auto" w:sz="12"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8" w:type="dxa"/>
          <w:cantSplit/>
          <w:trHeight w:val="686" w:hRule="atLeast"/>
          <w:jc w:val="center"/>
        </w:trPr>
        <w:tc>
          <w:tcPr>
            <w:tcW w:w="4617" w:type="dxa"/>
            <w:gridSpan w:val="3"/>
            <w:tcBorders>
              <w:left w:val="single" w:color="auto" w:sz="12" w:space="0"/>
            </w:tcBorders>
            <w:vAlign w:val="center"/>
          </w:tcPr>
          <w:p>
            <w:pPr>
              <w:jc w:val="center"/>
              <w:rPr>
                <w:rFonts w:ascii="宋体" w:hAnsi="宋体"/>
                <w:sz w:val="24"/>
              </w:rPr>
            </w:pPr>
          </w:p>
        </w:tc>
        <w:tc>
          <w:tcPr>
            <w:tcW w:w="4636" w:type="dxa"/>
            <w:gridSpan w:val="5"/>
            <w:tcBorders>
              <w:right w:val="single" w:color="auto" w:sz="12"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8" w:type="dxa"/>
          <w:cantSplit/>
          <w:trHeight w:val="686" w:hRule="atLeast"/>
          <w:jc w:val="center"/>
        </w:trPr>
        <w:tc>
          <w:tcPr>
            <w:tcW w:w="4617" w:type="dxa"/>
            <w:gridSpan w:val="3"/>
            <w:tcBorders>
              <w:left w:val="single" w:color="auto" w:sz="12" w:space="0"/>
            </w:tcBorders>
            <w:vAlign w:val="center"/>
          </w:tcPr>
          <w:p>
            <w:pPr>
              <w:jc w:val="center"/>
              <w:rPr>
                <w:rFonts w:ascii="宋体" w:hAnsi="宋体"/>
                <w:sz w:val="24"/>
              </w:rPr>
            </w:pPr>
          </w:p>
        </w:tc>
        <w:tc>
          <w:tcPr>
            <w:tcW w:w="4636" w:type="dxa"/>
            <w:gridSpan w:val="5"/>
            <w:tcBorders>
              <w:right w:val="single" w:color="auto" w:sz="12"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8" w:type="dxa"/>
          <w:cantSplit/>
          <w:trHeight w:val="686" w:hRule="atLeast"/>
          <w:jc w:val="center"/>
        </w:trPr>
        <w:tc>
          <w:tcPr>
            <w:tcW w:w="4617" w:type="dxa"/>
            <w:gridSpan w:val="3"/>
            <w:tcBorders>
              <w:left w:val="single" w:color="auto" w:sz="12" w:space="0"/>
            </w:tcBorders>
            <w:vAlign w:val="center"/>
          </w:tcPr>
          <w:p>
            <w:pPr>
              <w:jc w:val="center"/>
              <w:rPr>
                <w:rFonts w:ascii="宋体" w:hAnsi="宋体"/>
                <w:sz w:val="24"/>
              </w:rPr>
            </w:pPr>
          </w:p>
        </w:tc>
        <w:tc>
          <w:tcPr>
            <w:tcW w:w="4636" w:type="dxa"/>
            <w:gridSpan w:val="5"/>
            <w:tcBorders>
              <w:right w:val="single" w:color="auto" w:sz="12"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8" w:type="dxa"/>
          <w:cantSplit/>
          <w:trHeight w:val="686" w:hRule="atLeast"/>
          <w:jc w:val="center"/>
        </w:trPr>
        <w:tc>
          <w:tcPr>
            <w:tcW w:w="4617" w:type="dxa"/>
            <w:gridSpan w:val="3"/>
            <w:tcBorders>
              <w:left w:val="single" w:color="auto" w:sz="12" w:space="0"/>
            </w:tcBorders>
            <w:vAlign w:val="center"/>
          </w:tcPr>
          <w:p>
            <w:pPr>
              <w:jc w:val="center"/>
              <w:rPr>
                <w:rFonts w:ascii="宋体" w:hAnsi="宋体"/>
                <w:sz w:val="24"/>
              </w:rPr>
            </w:pPr>
          </w:p>
        </w:tc>
        <w:tc>
          <w:tcPr>
            <w:tcW w:w="4636" w:type="dxa"/>
            <w:gridSpan w:val="5"/>
            <w:tcBorders>
              <w:right w:val="single" w:color="auto" w:sz="12"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8" w:type="dxa"/>
          <w:cantSplit/>
          <w:trHeight w:val="686" w:hRule="atLeast"/>
          <w:jc w:val="center"/>
        </w:trPr>
        <w:tc>
          <w:tcPr>
            <w:tcW w:w="4617" w:type="dxa"/>
            <w:gridSpan w:val="3"/>
            <w:tcBorders>
              <w:left w:val="single" w:color="auto" w:sz="12" w:space="0"/>
              <w:bottom w:val="single" w:color="auto" w:sz="12" w:space="0"/>
            </w:tcBorders>
            <w:vAlign w:val="center"/>
          </w:tcPr>
          <w:p>
            <w:pPr>
              <w:jc w:val="center"/>
              <w:rPr>
                <w:rFonts w:ascii="宋体" w:hAnsi="宋体"/>
                <w:sz w:val="24"/>
              </w:rPr>
            </w:pPr>
          </w:p>
        </w:tc>
        <w:tc>
          <w:tcPr>
            <w:tcW w:w="4636" w:type="dxa"/>
            <w:gridSpan w:val="5"/>
            <w:tcBorders>
              <w:bottom w:val="single" w:color="auto" w:sz="12" w:space="0"/>
              <w:right w:val="single" w:color="auto" w:sz="12" w:space="0"/>
            </w:tcBorders>
            <w:vAlign w:val="center"/>
          </w:tcPr>
          <w:p>
            <w:pPr>
              <w:jc w:val="center"/>
              <w:rPr>
                <w:rFonts w:ascii="宋体" w:hAnsi="宋体"/>
                <w:sz w:val="24"/>
              </w:rPr>
            </w:pPr>
          </w:p>
        </w:tc>
      </w:tr>
    </w:tbl>
    <w:p>
      <w:pPr>
        <w:jc w:val="left"/>
        <w:rPr>
          <w:b/>
          <w:szCs w:val="21"/>
        </w:rPr>
      </w:pPr>
    </w:p>
    <w:p>
      <w:pPr>
        <w:jc w:val="left"/>
        <w:rPr>
          <w:b/>
          <w:szCs w:val="21"/>
        </w:rPr>
      </w:pPr>
    </w:p>
    <w:p>
      <w:pPr>
        <w:rPr>
          <w:sz w:val="24"/>
          <w:u w:val="single"/>
        </w:rPr>
      </w:pPr>
    </w:p>
    <w:p>
      <w:pPr>
        <w:rPr>
          <w:rFonts w:hint="eastAsia"/>
          <w:sz w:val="24"/>
          <w:u w:val="single"/>
        </w:rPr>
      </w:pPr>
    </w:p>
    <w:p>
      <w:pPr>
        <w:rPr>
          <w:sz w:val="24"/>
          <w:u w:val="single"/>
        </w:rPr>
      </w:pPr>
    </w:p>
    <w:p>
      <w:pPr>
        <w:pStyle w:val="2"/>
        <w:rPr>
          <w:rFonts w:hint="eastAsia" w:ascii="宋体" w:hAnsi="宋体"/>
          <w:b/>
          <w:sz w:val="28"/>
          <w:szCs w:val="28"/>
        </w:rPr>
      </w:pPr>
    </w:p>
    <w:p>
      <w:pPr>
        <w:spacing w:line="440" w:lineRule="exact"/>
        <w:rPr>
          <w:rFonts w:hint="eastAsia" w:ascii="宋体" w:hAnsi="宋体"/>
          <w:b/>
          <w:sz w:val="28"/>
          <w:szCs w:val="28"/>
        </w:rPr>
      </w:pPr>
    </w:p>
    <w:p>
      <w:pPr>
        <w:autoSpaceDE w:val="0"/>
        <w:autoSpaceDN w:val="0"/>
        <w:adjustRightInd w:val="0"/>
        <w:snapToGrid w:val="0"/>
        <w:spacing w:line="360" w:lineRule="auto"/>
        <w:jc w:val="both"/>
        <w:rPr>
          <w:rFonts w:hint="eastAsia" w:ascii="仿宋_GB2312" w:hAnsi="仿宋_GB2312" w:eastAsia="仿宋_GB2312" w:cs="仿宋_GB2312"/>
          <w:sz w:val="28"/>
          <w:szCs w:val="28"/>
        </w:rPr>
      </w:pPr>
    </w:p>
    <w:p>
      <w:pPr>
        <w:spacing w:line="360" w:lineRule="auto"/>
        <w:jc w:val="left"/>
        <w:rPr>
          <w:rFonts w:ascii="宋体" w:hAnsi="宋体" w:cs="Arial"/>
          <w:b/>
          <w:sz w:val="24"/>
        </w:rPr>
      </w:pPr>
      <w:r>
        <w:rPr>
          <w:rFonts w:hint="eastAsia" w:ascii="宋体" w:hAnsi="宋体" w:cs="Arial"/>
          <w:b/>
          <w:sz w:val="24"/>
          <w:lang w:eastAsia="zh-CN"/>
        </w:rPr>
        <w:t>八</w:t>
      </w:r>
      <w:r>
        <w:rPr>
          <w:rFonts w:ascii="宋体" w:hAnsi="宋体" w:cs="Arial"/>
          <w:b/>
          <w:sz w:val="24"/>
        </w:rPr>
        <w:t>、技术、商务及价格评审</w:t>
      </w:r>
    </w:p>
    <w:p>
      <w:pPr>
        <w:tabs>
          <w:tab w:val="left" w:pos="851"/>
        </w:tabs>
        <w:autoSpaceDE w:val="0"/>
        <w:autoSpaceDN w:val="0"/>
        <w:adjustRightInd w:val="0"/>
        <w:snapToGrid w:val="0"/>
        <w:spacing w:line="360" w:lineRule="auto"/>
        <w:ind w:firstLine="480" w:firstLineChars="200"/>
        <w:rPr>
          <w:rFonts w:ascii="宋体" w:hAnsi="宋体" w:cs="Arial"/>
          <w:sz w:val="24"/>
        </w:rPr>
      </w:pPr>
      <w:bookmarkStart w:id="4" w:name="_GoBack"/>
      <w:bookmarkEnd w:id="4"/>
      <w:r>
        <w:rPr>
          <w:rFonts w:ascii="宋体" w:hAnsi="宋体" w:cs="Arial"/>
          <w:sz w:val="24"/>
        </w:rPr>
        <w:t>评分总值最高为100分，评分分值（权重）分配如下：</w:t>
      </w:r>
    </w:p>
    <w:tbl>
      <w:tblPr>
        <w:tblStyle w:val="10"/>
        <w:tblW w:w="8526"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896"/>
        <w:gridCol w:w="2250"/>
        <w:gridCol w:w="2190"/>
        <w:gridCol w:w="2190"/>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96"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sz w:val="24"/>
              </w:rPr>
            </w:pPr>
            <w:r>
              <w:rPr>
                <w:rFonts w:ascii="Arial" w:cs="Arial"/>
              </w:rPr>
              <w:t>评分项目</w:t>
            </w:r>
          </w:p>
        </w:tc>
        <w:tc>
          <w:tcPr>
            <w:tcW w:w="2250"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sz w:val="24"/>
              </w:rPr>
            </w:pPr>
            <w:r>
              <w:rPr>
                <w:rFonts w:ascii="Arial" w:cs="Arial"/>
              </w:rPr>
              <w:t>技术部分权重</w:t>
            </w:r>
          </w:p>
        </w:tc>
        <w:tc>
          <w:tcPr>
            <w:tcW w:w="2190"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hint="eastAsia" w:ascii="Arial" w:hAnsi="Arial" w:cs="Arial" w:eastAsiaTheme="minorEastAsia"/>
                <w:sz w:val="24"/>
                <w:lang w:eastAsia="zh-CN"/>
              </w:rPr>
            </w:pPr>
            <w:r>
              <w:rPr>
                <w:rFonts w:hint="eastAsia" w:ascii="Arial" w:cs="Arial"/>
              </w:rPr>
              <w:t>商务</w:t>
            </w:r>
            <w:r>
              <w:rPr>
                <w:rFonts w:hint="eastAsia" w:ascii="Arial" w:cs="Arial"/>
                <w:lang w:eastAsia="zh-CN"/>
              </w:rPr>
              <w:t>部分权重</w:t>
            </w:r>
          </w:p>
        </w:tc>
        <w:tc>
          <w:tcPr>
            <w:tcW w:w="2190"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cs="Arial"/>
              </w:rPr>
            </w:pPr>
            <w:r>
              <w:rPr>
                <w:rFonts w:ascii="Arial" w:cs="Arial"/>
              </w:rPr>
              <w:t>价格部分权重</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96"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hint="eastAsia" w:ascii="Arial" w:hAnsi="Arial" w:cs="Arial"/>
                <w:sz w:val="24"/>
              </w:rPr>
            </w:pPr>
            <w:r>
              <w:rPr>
                <w:rFonts w:hint="eastAsia" w:ascii="Arial" w:cs="Arial"/>
              </w:rPr>
              <w:t>分值</w:t>
            </w:r>
          </w:p>
        </w:tc>
        <w:tc>
          <w:tcPr>
            <w:tcW w:w="2250"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hint="default" w:ascii="Arial" w:hAnsi="Arial" w:cs="Arial" w:eastAsiaTheme="minorEastAsia"/>
                <w:sz w:val="24"/>
                <w:lang w:val="en-US" w:eastAsia="zh-CN"/>
              </w:rPr>
            </w:pPr>
            <w:r>
              <w:rPr>
                <w:rFonts w:hint="eastAsia" w:ascii="Arial" w:hAnsi="Arial" w:cs="Arial"/>
                <w:sz w:val="24"/>
                <w:lang w:val="en-US" w:eastAsia="zh-CN"/>
              </w:rPr>
              <w:t>55</w:t>
            </w:r>
          </w:p>
        </w:tc>
        <w:tc>
          <w:tcPr>
            <w:tcW w:w="2190"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hint="default" w:ascii="Arial" w:hAnsi="Arial" w:cs="Arial" w:eastAsiaTheme="minorEastAsia"/>
                <w:sz w:val="24"/>
                <w:lang w:val="en-US" w:eastAsia="zh-CN"/>
              </w:rPr>
            </w:pPr>
            <w:r>
              <w:rPr>
                <w:rFonts w:hint="eastAsia" w:ascii="Arial" w:hAnsi="Arial" w:cs="Arial"/>
                <w:sz w:val="24"/>
                <w:lang w:val="en-US" w:eastAsia="zh-CN"/>
              </w:rPr>
              <w:t>30</w:t>
            </w:r>
          </w:p>
        </w:tc>
        <w:tc>
          <w:tcPr>
            <w:tcW w:w="2190"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hint="default" w:ascii="Arial" w:hAnsi="Arial" w:cs="Arial" w:eastAsiaTheme="minorEastAsia"/>
                <w:lang w:val="en-US" w:eastAsia="zh-CN"/>
              </w:rPr>
            </w:pPr>
            <w:r>
              <w:rPr>
                <w:rFonts w:hint="eastAsia" w:ascii="Arial" w:hAnsi="Arial" w:cs="Arial"/>
                <w:lang w:val="en-US" w:eastAsia="zh-CN"/>
              </w:rPr>
              <w:t>15</w:t>
            </w:r>
          </w:p>
        </w:tc>
      </w:tr>
    </w:tbl>
    <w:p>
      <w:pPr>
        <w:spacing w:line="360" w:lineRule="auto"/>
        <w:rPr>
          <w:rFonts w:hint="eastAsia" w:ascii="宋体" w:hAnsi="宋体"/>
          <w:b/>
          <w:sz w:val="28"/>
          <w:szCs w:val="28"/>
        </w:rPr>
      </w:pPr>
    </w:p>
    <w:p>
      <w:pPr>
        <w:spacing w:line="360" w:lineRule="auto"/>
        <w:rPr>
          <w:rFonts w:ascii="仿宋" w:hAnsi="仿宋" w:eastAsia="仿宋" w:cs="仿宋"/>
          <w:b/>
          <w:color w:val="FF0000"/>
          <w:sz w:val="24"/>
        </w:rPr>
      </w:pPr>
      <w:r>
        <w:rPr>
          <w:rFonts w:hint="eastAsia" w:ascii="宋体" w:hAnsi="宋体"/>
          <w:b/>
          <w:sz w:val="28"/>
          <w:szCs w:val="28"/>
        </w:rPr>
        <w:t xml:space="preserve">附件 </w:t>
      </w:r>
      <w:r>
        <w:rPr>
          <w:rFonts w:hint="eastAsia" w:ascii="仿宋" w:hAnsi="仿宋" w:eastAsia="仿宋" w:cs="仿宋"/>
          <w:b/>
          <w:sz w:val="24"/>
        </w:rPr>
        <w:t xml:space="preserve"> </w:t>
      </w:r>
      <w:r>
        <w:rPr>
          <w:rFonts w:hint="eastAsia" w:ascii="仿宋" w:hAnsi="仿宋" w:eastAsia="仿宋" w:cs="仿宋"/>
          <w:b/>
          <w:color w:val="FF0000"/>
          <w:sz w:val="24"/>
        </w:rPr>
        <w:t xml:space="preserve">                </w:t>
      </w:r>
      <w:r>
        <w:rPr>
          <w:rFonts w:hint="eastAsia"/>
          <w:b/>
        </w:rPr>
        <w:t>1、技术评审表</w:t>
      </w:r>
    </w:p>
    <w:tbl>
      <w:tblPr>
        <w:tblStyle w:val="10"/>
        <w:tblW w:w="9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4"/>
        <w:gridCol w:w="1068"/>
        <w:gridCol w:w="627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724" w:type="dxa"/>
            <w:shd w:val="clear" w:color="auto" w:fill="auto"/>
            <w:vAlign w:val="center"/>
          </w:tcPr>
          <w:p>
            <w:pPr>
              <w:topLinePunct/>
              <w:adjustRightInd w:val="0"/>
              <w:snapToGrid w:val="0"/>
              <w:jc w:val="center"/>
              <w:rPr>
                <w:rFonts w:ascii="宋体" w:hAnsi="宋体"/>
                <w:b/>
                <w:szCs w:val="21"/>
              </w:rPr>
            </w:pPr>
            <w:bookmarkStart w:id="2" w:name="技术评审表"/>
            <w:r>
              <w:rPr>
                <w:rFonts w:hint="eastAsia" w:ascii="宋体" w:hAnsi="宋体"/>
                <w:b/>
                <w:szCs w:val="21"/>
              </w:rPr>
              <w:t>序号</w:t>
            </w:r>
          </w:p>
        </w:tc>
        <w:tc>
          <w:tcPr>
            <w:tcW w:w="1068" w:type="dxa"/>
            <w:shd w:val="clear" w:color="auto" w:fill="auto"/>
            <w:vAlign w:val="center"/>
          </w:tcPr>
          <w:p>
            <w:pPr>
              <w:topLinePunct/>
              <w:adjustRightInd w:val="0"/>
              <w:snapToGrid w:val="0"/>
              <w:jc w:val="center"/>
              <w:rPr>
                <w:rFonts w:ascii="宋体" w:hAnsi="宋体"/>
                <w:b/>
                <w:szCs w:val="21"/>
              </w:rPr>
            </w:pPr>
            <w:r>
              <w:rPr>
                <w:rFonts w:hint="eastAsia" w:ascii="宋体" w:hAnsi="宋体"/>
                <w:b/>
                <w:szCs w:val="21"/>
              </w:rPr>
              <w:t>评分因素</w:t>
            </w:r>
          </w:p>
        </w:tc>
        <w:tc>
          <w:tcPr>
            <w:tcW w:w="6270" w:type="dxa"/>
            <w:shd w:val="clear" w:color="auto" w:fill="auto"/>
            <w:vAlign w:val="center"/>
          </w:tcPr>
          <w:p>
            <w:pPr>
              <w:topLinePunct/>
              <w:adjustRightInd w:val="0"/>
              <w:snapToGrid w:val="0"/>
              <w:jc w:val="center"/>
              <w:rPr>
                <w:rFonts w:ascii="宋体" w:hAnsi="宋体"/>
                <w:b/>
                <w:szCs w:val="21"/>
              </w:rPr>
            </w:pPr>
            <w:r>
              <w:rPr>
                <w:rFonts w:hint="eastAsia" w:ascii="宋体" w:hAnsi="宋体"/>
                <w:b/>
                <w:szCs w:val="21"/>
              </w:rPr>
              <w:t>评分标准</w:t>
            </w:r>
          </w:p>
        </w:tc>
        <w:tc>
          <w:tcPr>
            <w:tcW w:w="1560" w:type="dxa"/>
            <w:shd w:val="clear" w:color="auto" w:fill="auto"/>
            <w:vAlign w:val="center"/>
          </w:tcPr>
          <w:p>
            <w:pPr>
              <w:topLinePunct/>
              <w:adjustRightInd w:val="0"/>
              <w:snapToGrid w:val="0"/>
              <w:jc w:val="center"/>
              <w:rPr>
                <w:rFonts w:ascii="宋体" w:hAnsi="宋体"/>
                <w:b/>
                <w:szCs w:val="21"/>
              </w:rPr>
            </w:pPr>
            <w:r>
              <w:rPr>
                <w:rFonts w:hint="eastAsia" w:ascii="宋体" w:hAnsi="宋体"/>
                <w:b/>
                <w:szCs w:val="21"/>
              </w:rPr>
              <w:t>单项分值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8" w:hRule="atLeast"/>
          <w:jc w:val="center"/>
        </w:trPr>
        <w:tc>
          <w:tcPr>
            <w:tcW w:w="724" w:type="dxa"/>
            <w:shd w:val="clear" w:color="auto" w:fill="auto"/>
            <w:vAlign w:val="center"/>
          </w:tcPr>
          <w:p>
            <w:pPr>
              <w:topLinePunct/>
              <w:adjustRightInd w:val="0"/>
              <w:snapToGrid w:val="0"/>
              <w:jc w:val="center"/>
              <w:rPr>
                <w:rFonts w:ascii="宋体" w:hAnsi="宋体"/>
                <w:szCs w:val="21"/>
              </w:rPr>
            </w:pPr>
            <w:r>
              <w:rPr>
                <w:rFonts w:ascii="宋体" w:hAnsi="宋体"/>
                <w:szCs w:val="21"/>
              </w:rPr>
              <w:t>1</w:t>
            </w:r>
          </w:p>
        </w:tc>
        <w:tc>
          <w:tcPr>
            <w:tcW w:w="1068" w:type="dxa"/>
            <w:shd w:val="clear" w:color="auto" w:fill="auto"/>
            <w:vAlign w:val="center"/>
          </w:tcPr>
          <w:p>
            <w:pPr>
              <w:topLinePunct/>
              <w:adjustRightInd w:val="0"/>
              <w:snapToGrid w:val="0"/>
              <w:ind w:left="210" w:hanging="210" w:hangingChars="100"/>
              <w:rPr>
                <w:rFonts w:ascii="宋体" w:hAnsi="宋体"/>
                <w:szCs w:val="21"/>
              </w:rPr>
            </w:pPr>
            <w:r>
              <w:rPr>
                <w:rFonts w:hint="eastAsia" w:ascii="宋体" w:hAnsi="宋体"/>
                <w:szCs w:val="21"/>
              </w:rPr>
              <w:t>组织实施 方案</w:t>
            </w:r>
          </w:p>
        </w:tc>
        <w:tc>
          <w:tcPr>
            <w:tcW w:w="6270" w:type="dxa"/>
            <w:shd w:val="clear" w:color="auto" w:fill="auto"/>
            <w:vAlign w:val="center"/>
          </w:tcPr>
          <w:p>
            <w:pPr>
              <w:topLinePunct/>
              <w:adjustRightInd w:val="0"/>
              <w:snapToGrid w:val="0"/>
              <w:rPr>
                <w:rFonts w:ascii="宋体" w:hAnsi="宋体"/>
                <w:szCs w:val="21"/>
              </w:rPr>
            </w:pPr>
            <w:r>
              <w:rPr>
                <w:rFonts w:hint="eastAsia" w:ascii="宋体" w:hAnsi="宋体"/>
                <w:szCs w:val="21"/>
              </w:rPr>
              <w:t>1）.根据</w:t>
            </w:r>
            <w:r>
              <w:rPr>
                <w:rFonts w:hint="eastAsia" w:ascii="宋体" w:hAnsi="宋体" w:eastAsia="宋体" w:cs="宋体"/>
                <w:szCs w:val="21"/>
              </w:rPr>
              <w:t>合格供应商</w:t>
            </w:r>
            <w:r>
              <w:rPr>
                <w:rFonts w:hint="eastAsia" w:ascii="宋体" w:hAnsi="宋体"/>
                <w:szCs w:val="21"/>
              </w:rPr>
              <w:t>提供的组织实施方案，考查采购人针对用户需求提出服务总体设想，重点需突出预结算审核服务的特点，提供机构设置、管理服务运作流程方案。合理，科学，可行性强，机构设置、管理服务运作流程完善，综合评价优的得8分；</w:t>
            </w:r>
          </w:p>
          <w:p>
            <w:pPr>
              <w:topLinePunct/>
              <w:adjustRightInd w:val="0"/>
              <w:snapToGrid w:val="0"/>
              <w:rPr>
                <w:rFonts w:ascii="宋体" w:hAnsi="宋体"/>
                <w:szCs w:val="21"/>
              </w:rPr>
            </w:pPr>
            <w:r>
              <w:rPr>
                <w:rFonts w:hint="eastAsia" w:ascii="宋体" w:hAnsi="宋体"/>
                <w:szCs w:val="21"/>
              </w:rPr>
              <w:t>2）.根据</w:t>
            </w:r>
            <w:r>
              <w:rPr>
                <w:rFonts w:hint="eastAsia" w:ascii="宋体" w:hAnsi="宋体" w:eastAsia="宋体" w:cs="宋体"/>
                <w:szCs w:val="21"/>
              </w:rPr>
              <w:t>合格供应商</w:t>
            </w:r>
            <w:r>
              <w:rPr>
                <w:rFonts w:hint="eastAsia" w:ascii="宋体" w:hAnsi="宋体"/>
                <w:szCs w:val="21"/>
              </w:rPr>
              <w:t>提供的组织实施方案，考查采购人针对用户需求提出服务总体设想，重点需突出预结算审核服务特点，提供机构设置、管理服务运作流程方案。较合理，较科学，较具可行性，机构设置、管理服务运作流程较完善，综合评价较好的得5分；</w:t>
            </w:r>
          </w:p>
          <w:p>
            <w:pPr>
              <w:topLinePunct/>
              <w:adjustRightInd w:val="0"/>
              <w:snapToGrid w:val="0"/>
              <w:rPr>
                <w:rFonts w:ascii="宋体" w:hAnsi="宋体"/>
                <w:szCs w:val="21"/>
              </w:rPr>
            </w:pPr>
            <w:r>
              <w:rPr>
                <w:rFonts w:hint="eastAsia" w:ascii="宋体" w:hAnsi="宋体"/>
                <w:szCs w:val="21"/>
              </w:rPr>
              <w:t>3）.根据</w:t>
            </w:r>
            <w:r>
              <w:rPr>
                <w:rFonts w:hint="eastAsia" w:ascii="宋体" w:hAnsi="宋体" w:eastAsia="宋体" w:cs="宋体"/>
                <w:szCs w:val="21"/>
              </w:rPr>
              <w:t>合格供应商</w:t>
            </w:r>
            <w:r>
              <w:rPr>
                <w:rFonts w:hint="eastAsia" w:ascii="宋体" w:hAnsi="宋体"/>
                <w:szCs w:val="21"/>
              </w:rPr>
              <w:t>提供的组织实施方案，考查采购人针对用户需求提出服务总体设想，重点需突出预结算审核服务特点，提供机构设置、管理服务运作流程方案。方案一般，综合评价一般的得2分</w:t>
            </w:r>
          </w:p>
        </w:tc>
        <w:tc>
          <w:tcPr>
            <w:tcW w:w="1560" w:type="dxa"/>
            <w:shd w:val="clear" w:color="auto" w:fill="auto"/>
            <w:vAlign w:val="center"/>
          </w:tcPr>
          <w:p>
            <w:pPr>
              <w:topLinePunct/>
              <w:adjustRightInd w:val="0"/>
              <w:snapToGrid w:val="0"/>
              <w:jc w:val="center"/>
              <w:rPr>
                <w:rFonts w:ascii="宋体" w:hAnsi="宋体"/>
                <w:szCs w:val="21"/>
              </w:rPr>
            </w:pPr>
            <w:r>
              <w:rPr>
                <w:rFonts w:hint="eastAsia"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8" w:hRule="atLeast"/>
          <w:jc w:val="center"/>
        </w:trPr>
        <w:tc>
          <w:tcPr>
            <w:tcW w:w="724" w:type="dxa"/>
            <w:shd w:val="clear" w:color="auto" w:fill="auto"/>
            <w:vAlign w:val="center"/>
          </w:tcPr>
          <w:p>
            <w:pPr>
              <w:topLinePunct/>
              <w:adjustRightInd w:val="0"/>
              <w:snapToGrid w:val="0"/>
              <w:jc w:val="center"/>
              <w:rPr>
                <w:rFonts w:ascii="宋体" w:hAnsi="宋体"/>
                <w:szCs w:val="21"/>
              </w:rPr>
            </w:pPr>
            <w:r>
              <w:rPr>
                <w:rFonts w:hint="eastAsia" w:ascii="宋体" w:hAnsi="宋体"/>
                <w:szCs w:val="21"/>
              </w:rPr>
              <w:t>2</w:t>
            </w:r>
          </w:p>
        </w:tc>
        <w:tc>
          <w:tcPr>
            <w:tcW w:w="1068" w:type="dxa"/>
            <w:shd w:val="clear" w:color="auto" w:fill="auto"/>
            <w:vAlign w:val="center"/>
          </w:tcPr>
          <w:p>
            <w:pPr>
              <w:topLinePunct/>
              <w:adjustRightInd w:val="0"/>
              <w:snapToGrid w:val="0"/>
              <w:rPr>
                <w:rFonts w:ascii="宋体" w:hAnsi="宋体"/>
                <w:szCs w:val="21"/>
              </w:rPr>
            </w:pPr>
            <w:r>
              <w:rPr>
                <w:rFonts w:hint="eastAsia" w:ascii="宋体" w:hAnsi="宋体"/>
                <w:szCs w:val="21"/>
              </w:rPr>
              <w:t>服务措施及服务承诺</w:t>
            </w:r>
          </w:p>
        </w:tc>
        <w:tc>
          <w:tcPr>
            <w:tcW w:w="6270" w:type="dxa"/>
            <w:shd w:val="clear" w:color="auto" w:fill="auto"/>
            <w:vAlign w:val="center"/>
          </w:tcPr>
          <w:p>
            <w:pPr>
              <w:topLinePunct/>
              <w:adjustRightInd w:val="0"/>
              <w:snapToGrid w:val="0"/>
              <w:rPr>
                <w:rFonts w:ascii="宋体" w:hAnsi="宋体"/>
                <w:szCs w:val="21"/>
              </w:rPr>
            </w:pPr>
            <w:r>
              <w:rPr>
                <w:rFonts w:hint="eastAsia" w:ascii="宋体" w:hAnsi="宋体"/>
                <w:szCs w:val="21"/>
              </w:rPr>
              <w:t>1）.根据</w:t>
            </w:r>
            <w:r>
              <w:rPr>
                <w:rFonts w:hint="eastAsia" w:ascii="宋体" w:hAnsi="宋体" w:eastAsia="宋体" w:cs="宋体"/>
                <w:szCs w:val="21"/>
              </w:rPr>
              <w:t>合格供应商</w:t>
            </w:r>
            <w:r>
              <w:rPr>
                <w:rFonts w:hint="eastAsia" w:ascii="宋体" w:hAnsi="宋体"/>
                <w:szCs w:val="21"/>
              </w:rPr>
              <w:t>提供的服务措施及服务承诺，详细具体，具有针对性，综合评价优的得8分；</w:t>
            </w:r>
          </w:p>
          <w:p>
            <w:pPr>
              <w:topLinePunct/>
              <w:adjustRightInd w:val="0"/>
              <w:snapToGrid w:val="0"/>
              <w:rPr>
                <w:rFonts w:ascii="宋体" w:hAnsi="宋体"/>
                <w:szCs w:val="21"/>
              </w:rPr>
            </w:pPr>
            <w:r>
              <w:rPr>
                <w:rFonts w:hint="eastAsia" w:ascii="宋体" w:hAnsi="宋体"/>
                <w:szCs w:val="21"/>
              </w:rPr>
              <w:t>2）.根据</w:t>
            </w:r>
            <w:r>
              <w:rPr>
                <w:rFonts w:hint="eastAsia" w:ascii="宋体" w:hAnsi="宋体" w:eastAsia="宋体" w:cs="宋体"/>
                <w:szCs w:val="21"/>
              </w:rPr>
              <w:t>合格供应商</w:t>
            </w:r>
            <w:r>
              <w:rPr>
                <w:rFonts w:hint="eastAsia" w:ascii="宋体" w:hAnsi="宋体"/>
                <w:szCs w:val="21"/>
              </w:rPr>
              <w:t>提供的服务措施及服务承诺，较详细较具体，较有针对性，综合评价较好的得5分；</w:t>
            </w:r>
          </w:p>
          <w:p>
            <w:pPr>
              <w:topLinePunct/>
              <w:adjustRightInd w:val="0"/>
              <w:snapToGrid w:val="0"/>
              <w:rPr>
                <w:rFonts w:ascii="宋体" w:hAnsi="宋体"/>
                <w:szCs w:val="21"/>
              </w:rPr>
            </w:pPr>
            <w:r>
              <w:rPr>
                <w:rFonts w:hint="eastAsia" w:ascii="宋体" w:hAnsi="宋体"/>
                <w:szCs w:val="21"/>
              </w:rPr>
              <w:t>3）.根据</w:t>
            </w:r>
            <w:r>
              <w:rPr>
                <w:rFonts w:hint="eastAsia" w:ascii="宋体" w:hAnsi="宋体" w:eastAsia="宋体" w:cs="宋体"/>
                <w:szCs w:val="21"/>
              </w:rPr>
              <w:t>合格供应商</w:t>
            </w:r>
            <w:r>
              <w:rPr>
                <w:rFonts w:hint="eastAsia" w:ascii="宋体" w:hAnsi="宋体"/>
                <w:szCs w:val="21"/>
              </w:rPr>
              <w:t>提供的服务措施及服务承诺一般的，综合评价一般的得2分。</w:t>
            </w:r>
          </w:p>
        </w:tc>
        <w:tc>
          <w:tcPr>
            <w:tcW w:w="1560" w:type="dxa"/>
            <w:shd w:val="clear" w:color="auto" w:fill="auto"/>
            <w:vAlign w:val="center"/>
          </w:tcPr>
          <w:p>
            <w:pPr>
              <w:topLinePunct/>
              <w:adjustRightInd w:val="0"/>
              <w:snapToGrid w:val="0"/>
              <w:jc w:val="center"/>
              <w:rPr>
                <w:rFonts w:ascii="宋体" w:hAnsi="宋体"/>
                <w:szCs w:val="21"/>
              </w:rPr>
            </w:pPr>
            <w:r>
              <w:rPr>
                <w:rFonts w:hint="eastAsia"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7" w:hRule="atLeast"/>
          <w:jc w:val="center"/>
        </w:trPr>
        <w:tc>
          <w:tcPr>
            <w:tcW w:w="724" w:type="dxa"/>
            <w:shd w:val="clear" w:color="auto" w:fill="auto"/>
            <w:vAlign w:val="center"/>
          </w:tcPr>
          <w:p>
            <w:pPr>
              <w:topLinePunct/>
              <w:adjustRightInd w:val="0"/>
              <w:snapToGrid w:val="0"/>
              <w:jc w:val="center"/>
              <w:rPr>
                <w:rFonts w:ascii="宋体" w:hAnsi="宋体"/>
                <w:szCs w:val="21"/>
              </w:rPr>
            </w:pPr>
            <w:r>
              <w:rPr>
                <w:rFonts w:hint="eastAsia" w:ascii="宋体" w:hAnsi="宋体"/>
                <w:szCs w:val="21"/>
              </w:rPr>
              <w:t>3</w:t>
            </w:r>
          </w:p>
        </w:tc>
        <w:tc>
          <w:tcPr>
            <w:tcW w:w="1068" w:type="dxa"/>
            <w:shd w:val="clear" w:color="auto" w:fill="auto"/>
            <w:vAlign w:val="center"/>
          </w:tcPr>
          <w:p>
            <w:pPr>
              <w:topLinePunct/>
              <w:adjustRightInd w:val="0"/>
              <w:snapToGrid w:val="0"/>
              <w:rPr>
                <w:rFonts w:ascii="宋体" w:hAnsi="宋体"/>
                <w:szCs w:val="21"/>
              </w:rPr>
            </w:pPr>
            <w:r>
              <w:rPr>
                <w:rFonts w:ascii="宋体" w:hAnsi="宋体"/>
                <w:szCs w:val="21"/>
              </w:rPr>
              <w:t>进度计划和保证项目完成的具体措施</w:t>
            </w:r>
          </w:p>
        </w:tc>
        <w:tc>
          <w:tcPr>
            <w:tcW w:w="6270" w:type="dxa"/>
            <w:shd w:val="clear" w:color="auto" w:fill="auto"/>
            <w:vAlign w:val="center"/>
          </w:tcPr>
          <w:p>
            <w:pPr>
              <w:topLinePunct/>
              <w:adjustRightInd w:val="0"/>
              <w:snapToGrid w:val="0"/>
              <w:rPr>
                <w:rFonts w:ascii="宋体" w:hAnsi="宋体"/>
                <w:szCs w:val="21"/>
              </w:rPr>
            </w:pPr>
            <w:r>
              <w:rPr>
                <w:rFonts w:hint="eastAsia" w:ascii="宋体" w:hAnsi="宋体"/>
                <w:szCs w:val="21"/>
              </w:rPr>
              <w:t>1）.根据</w:t>
            </w:r>
            <w:r>
              <w:rPr>
                <w:rFonts w:hint="eastAsia" w:ascii="宋体" w:hAnsi="宋体" w:eastAsia="宋体" w:cs="宋体"/>
                <w:szCs w:val="21"/>
              </w:rPr>
              <w:t>合格供应商</w:t>
            </w:r>
            <w:r>
              <w:rPr>
                <w:rFonts w:hint="eastAsia" w:ascii="宋体" w:hAnsi="宋体"/>
                <w:szCs w:val="21"/>
              </w:rPr>
              <w:t>提供的进度计划和保证项目完成的具体措施，详细具体，具有针对性，综合评价优的得8分；</w:t>
            </w:r>
          </w:p>
          <w:p>
            <w:pPr>
              <w:topLinePunct/>
              <w:adjustRightInd w:val="0"/>
              <w:snapToGrid w:val="0"/>
              <w:rPr>
                <w:rFonts w:ascii="宋体" w:hAnsi="宋体"/>
                <w:szCs w:val="21"/>
              </w:rPr>
            </w:pPr>
            <w:r>
              <w:rPr>
                <w:rFonts w:hint="eastAsia" w:ascii="宋体" w:hAnsi="宋体"/>
                <w:szCs w:val="21"/>
              </w:rPr>
              <w:t>2）.根据</w:t>
            </w:r>
            <w:r>
              <w:rPr>
                <w:rFonts w:hint="eastAsia" w:ascii="宋体" w:hAnsi="宋体" w:eastAsia="宋体" w:cs="宋体"/>
                <w:szCs w:val="21"/>
              </w:rPr>
              <w:t>合格供应商</w:t>
            </w:r>
            <w:r>
              <w:rPr>
                <w:rFonts w:hint="eastAsia" w:ascii="宋体" w:hAnsi="宋体"/>
                <w:szCs w:val="21"/>
              </w:rPr>
              <w:t>提供的进度计划和保证项目完成的具体措施，较详细较具体，较有针对性，综合评价较好的得5分；</w:t>
            </w:r>
          </w:p>
          <w:p>
            <w:pPr>
              <w:topLinePunct/>
              <w:adjustRightInd w:val="0"/>
              <w:snapToGrid w:val="0"/>
              <w:rPr>
                <w:rFonts w:ascii="宋体" w:hAnsi="宋体"/>
                <w:szCs w:val="21"/>
              </w:rPr>
            </w:pPr>
            <w:r>
              <w:rPr>
                <w:rFonts w:hint="eastAsia" w:ascii="宋体" w:hAnsi="宋体"/>
                <w:szCs w:val="21"/>
              </w:rPr>
              <w:t>3）.根据</w:t>
            </w:r>
            <w:r>
              <w:rPr>
                <w:rFonts w:hint="eastAsia" w:ascii="宋体" w:hAnsi="宋体" w:eastAsia="宋体" w:cs="宋体"/>
                <w:szCs w:val="21"/>
              </w:rPr>
              <w:t>合格供应商</w:t>
            </w:r>
            <w:r>
              <w:rPr>
                <w:rFonts w:hint="eastAsia" w:ascii="宋体" w:hAnsi="宋体"/>
                <w:szCs w:val="21"/>
              </w:rPr>
              <w:t>提供的进度计划和保证项目完成的具体措施一般，综合评价一般的得2分。</w:t>
            </w:r>
          </w:p>
        </w:tc>
        <w:tc>
          <w:tcPr>
            <w:tcW w:w="1560" w:type="dxa"/>
            <w:shd w:val="clear" w:color="auto" w:fill="auto"/>
            <w:vAlign w:val="center"/>
          </w:tcPr>
          <w:p>
            <w:pPr>
              <w:topLinePunct/>
              <w:adjustRightInd w:val="0"/>
              <w:snapToGrid w:val="0"/>
              <w:jc w:val="center"/>
              <w:rPr>
                <w:rFonts w:ascii="宋体" w:hAnsi="宋体"/>
                <w:szCs w:val="21"/>
              </w:rPr>
            </w:pPr>
            <w:r>
              <w:rPr>
                <w:rFonts w:hint="eastAsia"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724" w:type="dxa"/>
            <w:shd w:val="clear" w:color="auto" w:fill="auto"/>
            <w:vAlign w:val="center"/>
          </w:tcPr>
          <w:p>
            <w:pPr>
              <w:topLinePunct/>
              <w:adjustRightInd w:val="0"/>
              <w:snapToGrid w:val="0"/>
              <w:jc w:val="center"/>
              <w:rPr>
                <w:rFonts w:ascii="宋体" w:hAnsi="宋体"/>
                <w:szCs w:val="21"/>
              </w:rPr>
            </w:pPr>
            <w:r>
              <w:rPr>
                <w:rFonts w:hint="eastAsia" w:ascii="宋体" w:hAnsi="宋体"/>
                <w:szCs w:val="21"/>
              </w:rPr>
              <w:t>4</w:t>
            </w:r>
          </w:p>
        </w:tc>
        <w:tc>
          <w:tcPr>
            <w:tcW w:w="1068" w:type="dxa"/>
            <w:shd w:val="clear" w:color="auto" w:fill="auto"/>
            <w:vAlign w:val="center"/>
          </w:tcPr>
          <w:p>
            <w:pPr>
              <w:topLinePunct/>
              <w:adjustRightInd w:val="0"/>
              <w:snapToGrid w:val="0"/>
              <w:ind w:left="210" w:hanging="210" w:hangingChars="100"/>
              <w:rPr>
                <w:rFonts w:ascii="宋体" w:hAnsi="宋体"/>
                <w:szCs w:val="21"/>
              </w:rPr>
            </w:pPr>
            <w:r>
              <w:rPr>
                <w:rFonts w:hint="eastAsia" w:ascii="宋体" w:hAnsi="宋体"/>
                <w:szCs w:val="21"/>
              </w:rPr>
              <w:t>管理制度 评价</w:t>
            </w:r>
          </w:p>
        </w:tc>
        <w:tc>
          <w:tcPr>
            <w:tcW w:w="6270" w:type="dxa"/>
            <w:shd w:val="clear" w:color="auto" w:fill="auto"/>
            <w:vAlign w:val="center"/>
          </w:tcPr>
          <w:p>
            <w:pPr>
              <w:topLinePunct/>
              <w:adjustRightInd w:val="0"/>
              <w:snapToGrid w:val="0"/>
              <w:rPr>
                <w:rFonts w:ascii="宋体" w:hAnsi="宋体" w:eastAsia="宋体" w:cs="宋体"/>
                <w:szCs w:val="21"/>
              </w:rPr>
            </w:pPr>
            <w:r>
              <w:rPr>
                <w:rFonts w:hint="eastAsia" w:ascii="宋体" w:hAnsi="宋体"/>
                <w:szCs w:val="21"/>
              </w:rPr>
              <w:t>1</w:t>
            </w:r>
            <w:r>
              <w:rPr>
                <w:rFonts w:hint="eastAsia" w:ascii="宋体" w:hAnsi="宋体" w:eastAsia="宋体" w:cs="宋体"/>
                <w:szCs w:val="21"/>
              </w:rPr>
              <w:t>）.根据合格供应商提供的企业内部管理制度(如公司管理制度、质量控制制度)，详细具体，制度全面规范，综合评价优的得6分；</w:t>
            </w:r>
          </w:p>
          <w:p>
            <w:pPr>
              <w:topLinePunct/>
              <w:adjustRightInd w:val="0"/>
              <w:snapToGrid w:val="0"/>
              <w:rPr>
                <w:rFonts w:ascii="宋体" w:hAnsi="宋体" w:eastAsia="宋体" w:cs="宋体"/>
                <w:szCs w:val="21"/>
              </w:rPr>
            </w:pPr>
            <w:r>
              <w:rPr>
                <w:rFonts w:hint="eastAsia" w:ascii="宋体" w:hAnsi="宋体" w:eastAsia="宋体" w:cs="宋体"/>
                <w:szCs w:val="21"/>
              </w:rPr>
              <w:t>2）.根据合格供应商提供的内部管理制度(如公司管理制度、质量控制制度)，较详细较具体，较规范，综合评价较好的得4分；</w:t>
            </w:r>
          </w:p>
          <w:p>
            <w:pPr>
              <w:topLinePunct/>
              <w:adjustRightInd w:val="0"/>
              <w:snapToGrid w:val="0"/>
              <w:rPr>
                <w:rFonts w:ascii="宋体" w:hAnsi="宋体"/>
                <w:szCs w:val="21"/>
              </w:rPr>
            </w:pPr>
            <w:r>
              <w:rPr>
                <w:rFonts w:hint="eastAsia" w:ascii="宋体" w:hAnsi="宋体" w:eastAsia="宋体" w:cs="宋体"/>
                <w:szCs w:val="21"/>
              </w:rPr>
              <w:t>3）.根据合格供应商提供的内部管理制度(如公司管理制度、质量控制制度)一般，综合评价一般的得2分。</w:t>
            </w:r>
          </w:p>
        </w:tc>
        <w:tc>
          <w:tcPr>
            <w:tcW w:w="1560" w:type="dxa"/>
            <w:shd w:val="clear" w:color="auto" w:fill="auto"/>
            <w:vAlign w:val="center"/>
          </w:tcPr>
          <w:p>
            <w:pPr>
              <w:topLinePunct/>
              <w:adjustRightInd w:val="0"/>
              <w:snapToGrid w:val="0"/>
              <w:jc w:val="center"/>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jc w:val="center"/>
        </w:trPr>
        <w:tc>
          <w:tcPr>
            <w:tcW w:w="724" w:type="dxa"/>
            <w:shd w:val="clear" w:color="auto" w:fill="auto"/>
            <w:vAlign w:val="center"/>
          </w:tcPr>
          <w:p>
            <w:pPr>
              <w:topLinePunct/>
              <w:adjustRightInd w:val="0"/>
              <w:snapToGrid w:val="0"/>
              <w:jc w:val="center"/>
              <w:rPr>
                <w:rFonts w:ascii="宋体" w:hAnsi="宋体"/>
                <w:szCs w:val="21"/>
              </w:rPr>
            </w:pPr>
            <w:r>
              <w:rPr>
                <w:rFonts w:hint="eastAsia" w:ascii="宋体" w:hAnsi="宋体"/>
                <w:szCs w:val="21"/>
              </w:rPr>
              <w:t>5</w:t>
            </w:r>
          </w:p>
        </w:tc>
        <w:tc>
          <w:tcPr>
            <w:tcW w:w="1068" w:type="dxa"/>
            <w:shd w:val="clear" w:color="auto" w:fill="auto"/>
            <w:vAlign w:val="center"/>
          </w:tcPr>
          <w:p>
            <w:pPr>
              <w:topLinePunct/>
              <w:adjustRightInd w:val="0"/>
              <w:snapToGrid w:val="0"/>
              <w:rPr>
                <w:rFonts w:ascii="宋体" w:hAnsi="宋体"/>
                <w:szCs w:val="21"/>
              </w:rPr>
            </w:pPr>
            <w:r>
              <w:rPr>
                <w:rFonts w:hint="eastAsia" w:ascii="宋体" w:hAnsi="宋体"/>
                <w:szCs w:val="21"/>
              </w:rPr>
              <w:t>项目负责人配备情况</w:t>
            </w:r>
          </w:p>
        </w:tc>
        <w:tc>
          <w:tcPr>
            <w:tcW w:w="6270" w:type="dxa"/>
            <w:shd w:val="clear" w:color="auto" w:fill="auto"/>
            <w:vAlign w:val="center"/>
          </w:tcPr>
          <w:p>
            <w:pPr>
              <w:topLinePunct/>
              <w:adjustRightInd w:val="0"/>
              <w:snapToGrid w:val="0"/>
              <w:rPr>
                <w:rFonts w:ascii="宋体" w:hAnsi="宋体"/>
                <w:szCs w:val="21"/>
              </w:rPr>
            </w:pPr>
            <w:r>
              <w:rPr>
                <w:rFonts w:hint="eastAsia" w:ascii="宋体" w:hAnsi="宋体"/>
                <w:szCs w:val="21"/>
              </w:rPr>
              <w:t>具有工程造价工程师职称的得2分； 具有工程造价高级工程师职称的得5分。</w:t>
            </w:r>
            <w:r>
              <w:rPr>
                <w:rFonts w:hint="eastAsia" w:ascii="宋体" w:hAnsi="宋体"/>
                <w:szCs w:val="21"/>
              </w:rPr>
              <w:br w:type="textWrapping"/>
            </w:r>
            <w:r>
              <w:rPr>
                <w:rFonts w:ascii="宋体" w:hAnsi="宋体"/>
                <w:b/>
                <w:bCs/>
                <w:szCs w:val="21"/>
              </w:rPr>
              <w:t>（须提供开标当月之前（不含当月）三个月的社保记录和相应职称证书复印件，无提交不得分）</w:t>
            </w:r>
          </w:p>
        </w:tc>
        <w:tc>
          <w:tcPr>
            <w:tcW w:w="1560" w:type="dxa"/>
            <w:shd w:val="clear" w:color="auto" w:fill="auto"/>
            <w:vAlign w:val="center"/>
          </w:tcPr>
          <w:p>
            <w:pPr>
              <w:topLinePunct/>
              <w:adjustRightInd w:val="0"/>
              <w:snapToGrid w:val="0"/>
              <w:jc w:val="center"/>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jc w:val="center"/>
        </w:trPr>
        <w:tc>
          <w:tcPr>
            <w:tcW w:w="724" w:type="dxa"/>
            <w:shd w:val="clear" w:color="auto" w:fill="auto"/>
            <w:vAlign w:val="center"/>
          </w:tcPr>
          <w:p>
            <w:pPr>
              <w:topLinePunct/>
              <w:adjustRightInd w:val="0"/>
              <w:snapToGrid w:val="0"/>
              <w:jc w:val="center"/>
              <w:rPr>
                <w:rFonts w:ascii="宋体" w:hAnsi="宋体" w:eastAsia="宋体" w:cs="宋体"/>
                <w:szCs w:val="21"/>
              </w:rPr>
            </w:pPr>
            <w:r>
              <w:rPr>
                <w:rFonts w:hint="eastAsia" w:ascii="宋体" w:hAnsi="宋体" w:eastAsia="宋体" w:cs="宋体"/>
                <w:szCs w:val="21"/>
              </w:rPr>
              <w:t>6</w:t>
            </w:r>
          </w:p>
        </w:tc>
        <w:tc>
          <w:tcPr>
            <w:tcW w:w="1068" w:type="dxa"/>
            <w:shd w:val="clear" w:color="auto" w:fill="auto"/>
            <w:vAlign w:val="center"/>
          </w:tcPr>
          <w:p>
            <w:pPr>
              <w:topLinePunct/>
              <w:adjustRightInd w:val="0"/>
              <w:snapToGrid w:val="0"/>
              <w:rPr>
                <w:rFonts w:ascii="宋体" w:hAnsi="宋体" w:eastAsia="宋体" w:cs="宋体"/>
                <w:szCs w:val="21"/>
              </w:rPr>
            </w:pPr>
            <w:r>
              <w:rPr>
                <w:rFonts w:hint="eastAsia" w:ascii="宋体" w:hAnsi="宋体" w:eastAsia="宋体" w:cs="宋体"/>
                <w:color w:val="000000"/>
                <w:kern w:val="0"/>
                <w:sz w:val="24"/>
              </w:rPr>
              <w:t>拟投入技术人员情况</w:t>
            </w:r>
          </w:p>
        </w:tc>
        <w:tc>
          <w:tcPr>
            <w:tcW w:w="6270" w:type="dxa"/>
            <w:shd w:val="clear" w:color="auto" w:fill="auto"/>
            <w:vAlign w:val="center"/>
          </w:tcPr>
          <w:p>
            <w:pPr>
              <w:topLinePunct/>
              <w:adjustRightInd w:val="0"/>
              <w:snapToGrid w:val="0"/>
              <w:rPr>
                <w:rFonts w:ascii="宋体" w:hAnsi="宋体"/>
                <w:szCs w:val="21"/>
              </w:rPr>
            </w:pPr>
            <w:r>
              <w:rPr>
                <w:rFonts w:hint="eastAsia" w:ascii="宋体" w:hAnsi="宋体"/>
                <w:szCs w:val="21"/>
              </w:rPr>
              <w:t>①</w:t>
            </w:r>
            <w:r>
              <w:rPr>
                <w:rFonts w:hint="eastAsia" w:ascii="宋体" w:hAnsi="宋体" w:eastAsia="宋体" w:cs="宋体"/>
                <w:szCs w:val="21"/>
              </w:rPr>
              <w:t>合格供应商</w:t>
            </w:r>
            <w:r>
              <w:rPr>
                <w:rFonts w:hint="eastAsia" w:ascii="宋体" w:hAnsi="宋体"/>
                <w:szCs w:val="21"/>
              </w:rPr>
              <w:t>提供具有建筑工程类中级以上（含中级）专业技术职称达到不少于10本（含10本）证书的，每本得0.5分；10本以上，每增加1本职称证书加1分；本小项满分得10分。</w:t>
            </w:r>
          </w:p>
          <w:p>
            <w:pPr>
              <w:topLinePunct/>
              <w:adjustRightInd w:val="0"/>
              <w:snapToGrid w:val="0"/>
              <w:rPr>
                <w:rFonts w:ascii="宋体" w:hAnsi="宋体"/>
                <w:szCs w:val="21"/>
              </w:rPr>
            </w:pPr>
            <w:r>
              <w:rPr>
                <w:rFonts w:hint="eastAsia" w:ascii="宋体" w:hAnsi="宋体"/>
                <w:szCs w:val="21"/>
              </w:rPr>
              <w:t>②</w:t>
            </w:r>
            <w:r>
              <w:rPr>
                <w:rFonts w:hint="eastAsia" w:ascii="宋体" w:hAnsi="宋体" w:eastAsia="宋体" w:cs="宋体"/>
                <w:szCs w:val="21"/>
              </w:rPr>
              <w:t>合格供应商</w:t>
            </w:r>
            <w:r>
              <w:rPr>
                <w:rFonts w:hint="eastAsia" w:ascii="宋体" w:hAnsi="宋体"/>
                <w:szCs w:val="21"/>
              </w:rPr>
              <w:t xml:space="preserve">提供具有注册造价工程师证的专业人员且达到3本的得3分；3本以上的每增加1本加1分；不足3本的不得分；本小项满分得10分。 </w:t>
            </w:r>
          </w:p>
          <w:p>
            <w:pPr>
              <w:topLinePunct/>
              <w:adjustRightInd w:val="0"/>
              <w:snapToGrid w:val="0"/>
              <w:rPr>
                <w:rFonts w:ascii="宋体" w:hAnsi="宋体" w:eastAsia="宋体" w:cs="宋体"/>
                <w:szCs w:val="21"/>
              </w:rPr>
            </w:pPr>
            <w:r>
              <w:rPr>
                <w:rFonts w:hint="eastAsia" w:ascii="宋体" w:hAnsi="宋体"/>
                <w:szCs w:val="21"/>
              </w:rPr>
              <w:t>持有注册造价工程师证的人员可以分别参与上述第①、②项评分。每种类型专业技术人员按最高职称计算，一人具有多个专业职称的只按一人计算，不重复计算；满分10分。</w:t>
            </w:r>
            <w:r>
              <w:rPr>
                <w:rFonts w:hint="eastAsia" w:ascii="宋体" w:hAnsi="宋体"/>
                <w:szCs w:val="21"/>
              </w:rPr>
              <w:br w:type="textWrapping"/>
            </w:r>
            <w:r>
              <w:rPr>
                <w:rFonts w:hint="eastAsia" w:ascii="宋体" w:hAnsi="宋体"/>
                <w:b/>
                <w:bCs/>
                <w:szCs w:val="21"/>
              </w:rPr>
              <w:t>（须提供开标当月之前（不含当月）三个月的社保记录和相应职称证书复印件，无提交不得分）</w:t>
            </w:r>
          </w:p>
        </w:tc>
        <w:tc>
          <w:tcPr>
            <w:tcW w:w="1560" w:type="dxa"/>
            <w:shd w:val="clear" w:color="auto" w:fill="auto"/>
            <w:vAlign w:val="center"/>
          </w:tcPr>
          <w:p>
            <w:pPr>
              <w:topLinePunct/>
              <w:adjustRightInd w:val="0"/>
              <w:snapToGrid w:val="0"/>
              <w:jc w:val="center"/>
              <w:rPr>
                <w:rFonts w:ascii="宋体" w:hAnsi="宋体" w:eastAsia="宋体" w:cs="宋体"/>
                <w:szCs w:val="21"/>
              </w:rPr>
            </w:pPr>
            <w:r>
              <w:rPr>
                <w:rFonts w:hint="eastAsia" w:ascii="宋体" w:hAnsi="宋体" w:eastAsia="宋体"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8062" w:type="dxa"/>
            <w:gridSpan w:val="3"/>
            <w:shd w:val="clear" w:color="auto" w:fill="auto"/>
            <w:vAlign w:val="center"/>
          </w:tcPr>
          <w:p>
            <w:pPr>
              <w:topLinePunct/>
              <w:adjustRightInd w:val="0"/>
              <w:snapToGrid w:val="0"/>
              <w:jc w:val="center"/>
              <w:rPr>
                <w:rFonts w:ascii="宋体" w:hAnsi="宋体" w:eastAsia="宋体" w:cs="宋体"/>
                <w:szCs w:val="21"/>
              </w:rPr>
            </w:pPr>
            <w:r>
              <w:rPr>
                <w:rFonts w:hint="eastAsia" w:ascii="宋体" w:hAnsi="宋体" w:eastAsia="宋体" w:cs="宋体"/>
                <w:szCs w:val="21"/>
              </w:rPr>
              <w:t>合计</w:t>
            </w:r>
          </w:p>
        </w:tc>
        <w:tc>
          <w:tcPr>
            <w:tcW w:w="1560" w:type="dxa"/>
            <w:shd w:val="clear" w:color="auto" w:fill="auto"/>
            <w:vAlign w:val="center"/>
          </w:tcPr>
          <w:p>
            <w:pPr>
              <w:topLinePunct/>
              <w:adjustRightInd w:val="0"/>
              <w:snapToGrid w:val="0"/>
              <w:jc w:val="center"/>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=SUM(ABOVE) </w:instrText>
            </w:r>
            <w:r>
              <w:rPr>
                <w:rFonts w:hint="eastAsia" w:ascii="宋体" w:hAnsi="宋体" w:eastAsia="宋体" w:cs="宋体"/>
                <w:szCs w:val="21"/>
              </w:rPr>
              <w:fldChar w:fldCharType="separate"/>
            </w:r>
            <w:r>
              <w:rPr>
                <w:rFonts w:hint="eastAsia" w:ascii="宋体" w:hAnsi="宋体" w:eastAsia="宋体" w:cs="宋体"/>
                <w:szCs w:val="21"/>
              </w:rPr>
              <w:t>55</w:t>
            </w:r>
            <w:r>
              <w:rPr>
                <w:rFonts w:hint="eastAsia" w:ascii="宋体" w:hAnsi="宋体" w:eastAsia="宋体" w:cs="宋体"/>
                <w:szCs w:val="21"/>
              </w:rPr>
              <w:fldChar w:fldCharType="end"/>
            </w:r>
          </w:p>
        </w:tc>
      </w:tr>
      <w:bookmarkEnd w:id="2"/>
    </w:tbl>
    <w:p>
      <w:pPr>
        <w:widowControl/>
        <w:jc w:val="left"/>
        <w:rPr>
          <w:rFonts w:ascii="宋体" w:hAnsi="宋体" w:eastAsia="宋体" w:cs="宋体"/>
          <w:szCs w:val="22"/>
        </w:rPr>
      </w:pPr>
    </w:p>
    <w:p>
      <w:pPr>
        <w:widowControl/>
        <w:ind w:firstLine="3373" w:firstLineChars="1400"/>
        <w:jc w:val="left"/>
        <w:rPr>
          <w:rFonts w:hint="eastAsia" w:ascii="宋体" w:hAnsi="宋体" w:eastAsia="宋体" w:cs="宋体"/>
          <w:b/>
          <w:sz w:val="24"/>
        </w:rPr>
      </w:pPr>
    </w:p>
    <w:p>
      <w:pPr>
        <w:widowControl/>
        <w:ind w:firstLine="3373" w:firstLineChars="1400"/>
        <w:jc w:val="left"/>
        <w:rPr>
          <w:rFonts w:hint="eastAsia" w:ascii="宋体" w:hAnsi="宋体" w:eastAsia="宋体" w:cs="宋体"/>
          <w:b/>
          <w:sz w:val="24"/>
        </w:rPr>
      </w:pPr>
    </w:p>
    <w:p>
      <w:pPr>
        <w:widowControl/>
        <w:ind w:firstLine="3373" w:firstLineChars="1400"/>
        <w:jc w:val="left"/>
        <w:rPr>
          <w:rFonts w:hint="eastAsia" w:ascii="宋体" w:hAnsi="宋体" w:eastAsia="宋体" w:cs="宋体"/>
          <w:b/>
          <w:sz w:val="24"/>
        </w:rPr>
      </w:pPr>
    </w:p>
    <w:p>
      <w:pPr>
        <w:widowControl/>
        <w:ind w:firstLine="3373" w:firstLineChars="1400"/>
        <w:jc w:val="left"/>
        <w:rPr>
          <w:rFonts w:ascii="宋体" w:hAnsi="宋体" w:eastAsia="宋体" w:cs="宋体"/>
          <w:b/>
          <w:sz w:val="24"/>
        </w:rPr>
      </w:pPr>
      <w:r>
        <w:rPr>
          <w:rFonts w:hint="eastAsia" w:ascii="宋体" w:hAnsi="宋体" w:eastAsia="宋体" w:cs="宋体"/>
          <w:b/>
          <w:sz w:val="24"/>
        </w:rPr>
        <w:t>2、商务评审表</w:t>
      </w:r>
    </w:p>
    <w:tbl>
      <w:tblPr>
        <w:tblStyle w:val="10"/>
        <w:tblW w:w="9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3"/>
        <w:gridCol w:w="1449"/>
        <w:gridCol w:w="5985"/>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3" w:type="dxa"/>
            <w:shd w:val="clear" w:color="auto" w:fill="auto"/>
            <w:vAlign w:val="center"/>
          </w:tcPr>
          <w:p>
            <w:pPr>
              <w:topLinePunct/>
              <w:adjustRightInd w:val="0"/>
              <w:snapToGrid w:val="0"/>
              <w:jc w:val="center"/>
              <w:rPr>
                <w:rFonts w:ascii="宋体" w:hAnsi="宋体" w:eastAsia="宋体" w:cs="宋体"/>
                <w:b/>
                <w:szCs w:val="21"/>
              </w:rPr>
            </w:pPr>
            <w:bookmarkStart w:id="3" w:name="商务评审表"/>
            <w:r>
              <w:rPr>
                <w:rFonts w:hint="eastAsia" w:ascii="宋体" w:hAnsi="宋体" w:eastAsia="宋体" w:cs="宋体"/>
                <w:b/>
                <w:szCs w:val="21"/>
              </w:rPr>
              <w:t>序号</w:t>
            </w:r>
          </w:p>
        </w:tc>
        <w:tc>
          <w:tcPr>
            <w:tcW w:w="1449" w:type="dxa"/>
            <w:shd w:val="clear" w:color="auto" w:fill="auto"/>
            <w:vAlign w:val="center"/>
          </w:tcPr>
          <w:p>
            <w:pPr>
              <w:topLinePunct/>
              <w:adjustRightInd w:val="0"/>
              <w:snapToGrid w:val="0"/>
              <w:jc w:val="center"/>
              <w:rPr>
                <w:rFonts w:ascii="宋体" w:hAnsi="宋体" w:eastAsia="宋体" w:cs="宋体"/>
                <w:b/>
                <w:szCs w:val="21"/>
              </w:rPr>
            </w:pPr>
            <w:r>
              <w:rPr>
                <w:rFonts w:hint="eastAsia" w:ascii="宋体" w:hAnsi="宋体" w:eastAsia="宋体" w:cs="宋体"/>
                <w:b/>
                <w:szCs w:val="21"/>
              </w:rPr>
              <w:t>评分因素</w:t>
            </w:r>
          </w:p>
        </w:tc>
        <w:tc>
          <w:tcPr>
            <w:tcW w:w="5985" w:type="dxa"/>
            <w:shd w:val="clear" w:color="auto" w:fill="auto"/>
            <w:vAlign w:val="center"/>
          </w:tcPr>
          <w:p>
            <w:pPr>
              <w:topLinePunct/>
              <w:adjustRightInd w:val="0"/>
              <w:snapToGrid w:val="0"/>
              <w:jc w:val="center"/>
              <w:rPr>
                <w:rFonts w:ascii="宋体" w:hAnsi="宋体" w:eastAsia="宋体" w:cs="宋体"/>
                <w:b/>
                <w:szCs w:val="21"/>
              </w:rPr>
            </w:pPr>
            <w:r>
              <w:rPr>
                <w:rFonts w:hint="eastAsia" w:ascii="宋体" w:hAnsi="宋体" w:eastAsia="宋体" w:cs="宋体"/>
                <w:b/>
                <w:szCs w:val="21"/>
              </w:rPr>
              <w:t>评分标准</w:t>
            </w:r>
          </w:p>
        </w:tc>
        <w:tc>
          <w:tcPr>
            <w:tcW w:w="1600" w:type="dxa"/>
            <w:shd w:val="clear" w:color="auto" w:fill="auto"/>
            <w:vAlign w:val="center"/>
          </w:tcPr>
          <w:p>
            <w:pPr>
              <w:topLinePunct/>
              <w:adjustRightInd w:val="0"/>
              <w:snapToGrid w:val="0"/>
              <w:jc w:val="center"/>
              <w:rPr>
                <w:rFonts w:ascii="宋体" w:hAnsi="宋体" w:eastAsia="宋体" w:cs="宋体"/>
                <w:b/>
                <w:szCs w:val="21"/>
              </w:rPr>
            </w:pPr>
            <w:r>
              <w:rPr>
                <w:rFonts w:hint="eastAsia" w:ascii="宋体" w:hAnsi="宋体" w:eastAsia="宋体" w:cs="宋体"/>
                <w:b/>
                <w:szCs w:val="21"/>
              </w:rPr>
              <w:t>单项</w:t>
            </w:r>
          </w:p>
          <w:p>
            <w:pPr>
              <w:topLinePunct/>
              <w:adjustRightInd w:val="0"/>
              <w:snapToGrid w:val="0"/>
              <w:jc w:val="center"/>
              <w:rPr>
                <w:rFonts w:ascii="宋体" w:hAnsi="宋体" w:eastAsia="宋体" w:cs="宋体"/>
                <w:b/>
                <w:szCs w:val="21"/>
              </w:rPr>
            </w:pPr>
            <w:r>
              <w:rPr>
                <w:rFonts w:hint="eastAsia" w:ascii="宋体" w:hAnsi="宋体" w:eastAsia="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6" w:hRule="atLeast"/>
          <w:jc w:val="center"/>
        </w:trPr>
        <w:tc>
          <w:tcPr>
            <w:tcW w:w="813" w:type="dxa"/>
            <w:shd w:val="clear" w:color="auto" w:fill="auto"/>
            <w:vAlign w:val="center"/>
          </w:tcPr>
          <w:p>
            <w:pPr>
              <w:topLinePunct/>
              <w:adjustRightInd w:val="0"/>
              <w:snapToGrid w:val="0"/>
              <w:jc w:val="center"/>
              <w:rPr>
                <w:rFonts w:ascii="宋体" w:hAnsi="宋体" w:eastAsia="宋体" w:cs="宋体"/>
                <w:szCs w:val="21"/>
              </w:rPr>
            </w:pPr>
            <w:r>
              <w:rPr>
                <w:rFonts w:hint="eastAsia" w:ascii="宋体" w:hAnsi="宋体" w:eastAsia="宋体" w:cs="宋体"/>
                <w:szCs w:val="21"/>
              </w:rPr>
              <w:t>1</w:t>
            </w:r>
          </w:p>
        </w:tc>
        <w:tc>
          <w:tcPr>
            <w:tcW w:w="1449" w:type="dxa"/>
            <w:shd w:val="clear" w:color="auto" w:fill="auto"/>
            <w:vAlign w:val="center"/>
          </w:tcPr>
          <w:p>
            <w:pPr>
              <w:topLinePunct/>
              <w:adjustRightInd w:val="0"/>
              <w:snapToGrid w:val="0"/>
              <w:jc w:val="center"/>
              <w:rPr>
                <w:rFonts w:ascii="宋体" w:hAnsi="宋体" w:eastAsia="宋体" w:cs="宋体"/>
                <w:szCs w:val="21"/>
              </w:rPr>
            </w:pPr>
            <w:r>
              <w:rPr>
                <w:rFonts w:hint="eastAsia" w:ascii="宋体" w:hAnsi="宋体" w:eastAsia="宋体" w:cs="宋体"/>
                <w:szCs w:val="21"/>
              </w:rPr>
              <w:t>对</w:t>
            </w:r>
            <w:r>
              <w:rPr>
                <w:rFonts w:hint="eastAsia" w:ascii="宋体" w:hAnsi="宋体" w:eastAsia="宋体" w:cs="宋体"/>
                <w:szCs w:val="21"/>
                <w:lang w:eastAsia="zh-CN"/>
              </w:rPr>
              <w:t>需求</w:t>
            </w:r>
            <w:r>
              <w:rPr>
                <w:rFonts w:hint="eastAsia" w:ascii="宋体" w:hAnsi="宋体" w:eastAsia="宋体" w:cs="宋体"/>
                <w:szCs w:val="21"/>
              </w:rPr>
              <w:t>文件的响应程度</w:t>
            </w:r>
          </w:p>
        </w:tc>
        <w:tc>
          <w:tcPr>
            <w:tcW w:w="5985" w:type="dxa"/>
            <w:shd w:val="clear" w:color="auto" w:fill="auto"/>
            <w:vAlign w:val="center"/>
          </w:tcPr>
          <w:p>
            <w:pPr>
              <w:topLinePunct/>
              <w:adjustRightInd w:val="0"/>
              <w:snapToGrid w:val="0"/>
              <w:rPr>
                <w:rFonts w:ascii="宋体" w:hAnsi="宋体" w:eastAsia="宋体" w:cs="宋体"/>
                <w:szCs w:val="21"/>
              </w:rPr>
            </w:pPr>
            <w:r>
              <w:rPr>
                <w:rFonts w:hint="eastAsia" w:ascii="宋体" w:hAnsi="宋体" w:eastAsia="宋体" w:cs="宋体"/>
                <w:color w:val="000000"/>
                <w:kern w:val="0"/>
                <w:szCs w:val="21"/>
              </w:rPr>
              <w:t>根据该项目</w:t>
            </w:r>
            <w:r>
              <w:rPr>
                <w:rFonts w:hint="eastAsia" w:ascii="宋体" w:hAnsi="宋体" w:eastAsia="宋体" w:cs="宋体"/>
                <w:color w:val="000000"/>
                <w:kern w:val="0"/>
                <w:szCs w:val="21"/>
                <w:lang w:eastAsia="zh-CN"/>
              </w:rPr>
              <w:t>需求</w:t>
            </w:r>
            <w:r>
              <w:rPr>
                <w:rFonts w:hint="eastAsia" w:ascii="宋体" w:hAnsi="宋体" w:eastAsia="宋体" w:cs="宋体"/>
                <w:color w:val="000000"/>
                <w:kern w:val="0"/>
                <w:szCs w:val="21"/>
              </w:rPr>
              <w:t>文件对比所有</w:t>
            </w:r>
            <w:r>
              <w:rPr>
                <w:rFonts w:hint="eastAsia" w:ascii="宋体" w:hAnsi="宋体" w:eastAsia="宋体" w:cs="宋体"/>
                <w:szCs w:val="21"/>
              </w:rPr>
              <w:t>合格供应商</w:t>
            </w:r>
            <w:r>
              <w:rPr>
                <w:rFonts w:hint="eastAsia" w:ascii="宋体" w:hAnsi="宋体" w:eastAsia="宋体" w:cs="宋体"/>
                <w:color w:val="000000"/>
                <w:kern w:val="0"/>
                <w:szCs w:val="21"/>
              </w:rPr>
              <w:t>的响应程度，优于文件要求的最高得5分，满足文件要求的最高得3分，部分响应文件要求的最高得1分。</w:t>
            </w:r>
          </w:p>
        </w:tc>
        <w:tc>
          <w:tcPr>
            <w:tcW w:w="1600" w:type="dxa"/>
            <w:shd w:val="clear" w:color="auto" w:fill="auto"/>
            <w:vAlign w:val="center"/>
          </w:tcPr>
          <w:p>
            <w:pPr>
              <w:topLinePunct/>
              <w:adjustRightInd w:val="0"/>
              <w:snapToGrid w:val="0"/>
              <w:jc w:val="center"/>
              <w:rPr>
                <w:rFonts w:ascii="宋体" w:hAnsi="宋体" w:eastAsia="宋体" w:cs="宋体"/>
                <w:szCs w:val="21"/>
              </w:rPr>
            </w:pPr>
            <w:r>
              <w:rPr>
                <w:rFonts w:hint="eastAsia" w:ascii="宋体" w:hAnsi="宋体" w:eastAsia="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5" w:hRule="atLeast"/>
          <w:jc w:val="center"/>
        </w:trPr>
        <w:tc>
          <w:tcPr>
            <w:tcW w:w="813" w:type="dxa"/>
            <w:vMerge w:val="restart"/>
            <w:shd w:val="clear" w:color="auto" w:fill="auto"/>
            <w:vAlign w:val="center"/>
          </w:tcPr>
          <w:p>
            <w:pPr>
              <w:topLinePunct/>
              <w:adjustRightInd w:val="0"/>
              <w:snapToGrid w:val="0"/>
              <w:jc w:val="center"/>
              <w:rPr>
                <w:rFonts w:ascii="宋体" w:hAnsi="宋体" w:eastAsia="宋体" w:cs="宋体"/>
                <w:szCs w:val="21"/>
              </w:rPr>
            </w:pPr>
            <w:r>
              <w:rPr>
                <w:rFonts w:hint="eastAsia" w:ascii="宋体" w:hAnsi="宋体" w:eastAsia="宋体" w:cs="宋体"/>
                <w:szCs w:val="21"/>
              </w:rPr>
              <w:t>2</w:t>
            </w:r>
          </w:p>
        </w:tc>
        <w:tc>
          <w:tcPr>
            <w:tcW w:w="1449" w:type="dxa"/>
            <w:vMerge w:val="restart"/>
            <w:shd w:val="clear" w:color="auto" w:fill="auto"/>
            <w:vAlign w:val="center"/>
          </w:tcPr>
          <w:p>
            <w:pPr>
              <w:topLinePunct/>
              <w:adjustRightInd w:val="0"/>
              <w:snapToGrid w:val="0"/>
              <w:jc w:val="center"/>
              <w:rPr>
                <w:rFonts w:ascii="宋体" w:hAnsi="宋体" w:eastAsia="宋体" w:cs="宋体"/>
                <w:szCs w:val="21"/>
              </w:rPr>
            </w:pPr>
            <w:r>
              <w:rPr>
                <w:rFonts w:hint="eastAsia" w:ascii="宋体" w:hAnsi="宋体" w:eastAsia="宋体" w:cs="宋体"/>
                <w:szCs w:val="21"/>
              </w:rPr>
              <w:t>企业信用</w:t>
            </w:r>
          </w:p>
        </w:tc>
        <w:tc>
          <w:tcPr>
            <w:tcW w:w="5985" w:type="dxa"/>
            <w:shd w:val="clear" w:color="auto" w:fill="auto"/>
            <w:vAlign w:val="center"/>
          </w:tcPr>
          <w:p>
            <w:pPr>
              <w:topLinePunct/>
              <w:adjustRightInd w:val="0"/>
              <w:snapToGrid w:val="0"/>
              <w:rPr>
                <w:rFonts w:ascii="宋体" w:hAnsi="宋体" w:eastAsia="宋体" w:cs="宋体"/>
                <w:szCs w:val="21"/>
              </w:rPr>
            </w:pPr>
            <w:r>
              <w:rPr>
                <w:rFonts w:hint="eastAsia" w:ascii="宋体" w:hAnsi="宋体" w:eastAsia="宋体" w:cs="宋体"/>
                <w:kern w:val="0"/>
                <w:szCs w:val="21"/>
              </w:rPr>
              <w:t>税务行政部门颁发的“纳税信用等级”以 A 级为较优，同一采购人在单个证书等级以较优者为准，单个证书类型不重复得分。（投标文件无提供证明文件不得分）A 级:3分;B 级:2分;</w:t>
            </w:r>
            <w:r>
              <w:rPr>
                <w:rFonts w:ascii="宋体" w:hAnsi="宋体" w:eastAsia="宋体" w:cs="宋体"/>
                <w:kern w:val="0"/>
                <w:szCs w:val="21"/>
              </w:rPr>
              <w:t>M</w:t>
            </w:r>
            <w:r>
              <w:rPr>
                <w:rFonts w:hint="eastAsia" w:ascii="宋体" w:hAnsi="宋体" w:eastAsia="宋体" w:cs="宋体"/>
                <w:kern w:val="0"/>
                <w:szCs w:val="21"/>
              </w:rPr>
              <w:t xml:space="preserve"> 级：1分；</w:t>
            </w:r>
            <w:r>
              <w:rPr>
                <w:rFonts w:ascii="宋体" w:hAnsi="宋体" w:eastAsia="宋体" w:cs="宋体"/>
                <w:kern w:val="0"/>
                <w:szCs w:val="21"/>
              </w:rPr>
              <w:t>C</w:t>
            </w:r>
            <w:r>
              <w:rPr>
                <w:rFonts w:hint="eastAsia" w:ascii="宋体" w:hAnsi="宋体" w:eastAsia="宋体" w:cs="宋体"/>
                <w:kern w:val="0"/>
                <w:szCs w:val="21"/>
              </w:rPr>
              <w:t>级及以下不得分;无提供证明文件不得分。</w:t>
            </w:r>
          </w:p>
        </w:tc>
        <w:tc>
          <w:tcPr>
            <w:tcW w:w="1600" w:type="dxa"/>
            <w:shd w:val="clear" w:color="auto" w:fill="auto"/>
            <w:vAlign w:val="center"/>
          </w:tcPr>
          <w:p>
            <w:pPr>
              <w:topLinePunct/>
              <w:adjustRightInd w:val="0"/>
              <w:snapToGrid w:val="0"/>
              <w:jc w:val="center"/>
              <w:rPr>
                <w:rFonts w:ascii="宋体" w:hAnsi="宋体" w:eastAsia="宋体" w:cs="宋体"/>
                <w:szCs w:val="21"/>
              </w:rPr>
            </w:pPr>
            <w:r>
              <w:rPr>
                <w:rFonts w:hint="eastAsia" w:ascii="宋体" w:hAnsi="宋体" w:eastAsia="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jc w:val="center"/>
        </w:trPr>
        <w:tc>
          <w:tcPr>
            <w:tcW w:w="813" w:type="dxa"/>
            <w:vMerge w:val="continue"/>
            <w:shd w:val="clear" w:color="auto" w:fill="auto"/>
            <w:vAlign w:val="center"/>
          </w:tcPr>
          <w:p>
            <w:pPr>
              <w:topLinePunct/>
              <w:adjustRightInd w:val="0"/>
              <w:snapToGrid w:val="0"/>
              <w:jc w:val="center"/>
              <w:rPr>
                <w:rFonts w:ascii="宋体" w:hAnsi="宋体" w:eastAsia="宋体" w:cs="宋体"/>
                <w:szCs w:val="21"/>
              </w:rPr>
            </w:pPr>
          </w:p>
        </w:tc>
        <w:tc>
          <w:tcPr>
            <w:tcW w:w="1449" w:type="dxa"/>
            <w:vMerge w:val="continue"/>
            <w:shd w:val="clear" w:color="auto" w:fill="auto"/>
            <w:vAlign w:val="center"/>
          </w:tcPr>
          <w:p>
            <w:pPr>
              <w:topLinePunct/>
              <w:adjustRightInd w:val="0"/>
              <w:snapToGrid w:val="0"/>
              <w:jc w:val="center"/>
              <w:rPr>
                <w:rFonts w:ascii="宋体" w:hAnsi="宋体" w:eastAsia="宋体" w:cs="宋体"/>
                <w:szCs w:val="21"/>
              </w:rPr>
            </w:pPr>
          </w:p>
        </w:tc>
        <w:tc>
          <w:tcPr>
            <w:tcW w:w="5985" w:type="dxa"/>
            <w:shd w:val="clear" w:color="auto" w:fill="auto"/>
            <w:vAlign w:val="center"/>
          </w:tcPr>
          <w:p>
            <w:pPr>
              <w:topLinePunct/>
              <w:adjustRightInd w:val="0"/>
              <w:snapToGrid w:val="0"/>
              <w:rPr>
                <w:rFonts w:ascii="宋体" w:hAnsi="宋体" w:eastAsia="宋体" w:cs="宋体"/>
                <w:kern w:val="0"/>
                <w:szCs w:val="21"/>
              </w:rPr>
            </w:pPr>
            <w:r>
              <w:rPr>
                <w:rFonts w:hint="eastAsia" w:ascii="宋体" w:hAnsi="宋体" w:eastAsia="宋体" w:cs="宋体"/>
                <w:kern w:val="0"/>
                <w:szCs w:val="21"/>
              </w:rPr>
              <w:t>投标人获得中国建设工程造价管理协会颁发的工程造价信用证明AAA的得4分，无提供证明文件不得分。</w:t>
            </w:r>
          </w:p>
        </w:tc>
        <w:tc>
          <w:tcPr>
            <w:tcW w:w="1600" w:type="dxa"/>
            <w:shd w:val="clear" w:color="auto" w:fill="auto"/>
            <w:vAlign w:val="center"/>
          </w:tcPr>
          <w:p>
            <w:pPr>
              <w:topLinePunct/>
              <w:adjustRightInd w:val="0"/>
              <w:snapToGrid w:val="0"/>
              <w:jc w:val="center"/>
              <w:rPr>
                <w:rFonts w:ascii="宋体" w:hAnsi="宋体" w:eastAsia="宋体" w:cs="宋体"/>
                <w:szCs w:val="21"/>
              </w:rPr>
            </w:pPr>
            <w:r>
              <w:rPr>
                <w:rFonts w:hint="eastAsia" w:ascii="宋体" w:hAnsi="宋体" w:eastAsia="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813" w:type="dxa"/>
            <w:vMerge w:val="continue"/>
            <w:shd w:val="clear" w:color="auto" w:fill="auto"/>
            <w:vAlign w:val="center"/>
          </w:tcPr>
          <w:p>
            <w:pPr>
              <w:topLinePunct/>
              <w:adjustRightInd w:val="0"/>
              <w:snapToGrid w:val="0"/>
              <w:jc w:val="center"/>
              <w:rPr>
                <w:rFonts w:ascii="宋体" w:hAnsi="宋体" w:eastAsia="宋体" w:cs="宋体"/>
                <w:szCs w:val="21"/>
              </w:rPr>
            </w:pPr>
          </w:p>
        </w:tc>
        <w:tc>
          <w:tcPr>
            <w:tcW w:w="1449" w:type="dxa"/>
            <w:vMerge w:val="continue"/>
            <w:shd w:val="clear" w:color="auto" w:fill="auto"/>
            <w:vAlign w:val="center"/>
          </w:tcPr>
          <w:p>
            <w:pPr>
              <w:topLinePunct/>
              <w:adjustRightInd w:val="0"/>
              <w:snapToGrid w:val="0"/>
              <w:jc w:val="center"/>
              <w:rPr>
                <w:rFonts w:ascii="宋体" w:hAnsi="宋体" w:eastAsia="宋体" w:cs="宋体"/>
                <w:szCs w:val="21"/>
              </w:rPr>
            </w:pPr>
          </w:p>
        </w:tc>
        <w:tc>
          <w:tcPr>
            <w:tcW w:w="5985" w:type="dxa"/>
            <w:shd w:val="clear" w:color="auto" w:fill="auto"/>
            <w:vAlign w:val="center"/>
          </w:tcPr>
          <w:p>
            <w:pPr>
              <w:topLinePunct/>
              <w:adjustRightInd w:val="0"/>
              <w:snapToGrid w:val="0"/>
              <w:rPr>
                <w:rFonts w:ascii="宋体" w:hAnsi="宋体" w:eastAsia="宋体" w:cs="宋体"/>
                <w:kern w:val="0"/>
                <w:szCs w:val="21"/>
              </w:rPr>
            </w:pPr>
            <w:r>
              <w:rPr>
                <w:rFonts w:hint="eastAsia" w:ascii="宋体" w:hAnsi="宋体" w:eastAsia="宋体" w:cs="宋体"/>
                <w:kern w:val="0"/>
                <w:szCs w:val="21"/>
              </w:rPr>
              <w:t>投标人获得市级或以上工程造价管理办公室颁发的先进集体的得3分，无提供证明文件不得分。</w:t>
            </w:r>
          </w:p>
        </w:tc>
        <w:tc>
          <w:tcPr>
            <w:tcW w:w="1600" w:type="dxa"/>
            <w:shd w:val="clear" w:color="auto" w:fill="auto"/>
            <w:vAlign w:val="center"/>
          </w:tcPr>
          <w:p>
            <w:pPr>
              <w:topLinePunct/>
              <w:adjustRightInd w:val="0"/>
              <w:snapToGrid w:val="0"/>
              <w:jc w:val="center"/>
              <w:rPr>
                <w:rFonts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813" w:type="dxa"/>
            <w:vMerge w:val="continue"/>
            <w:shd w:val="clear" w:color="auto" w:fill="auto"/>
            <w:vAlign w:val="center"/>
          </w:tcPr>
          <w:p>
            <w:pPr>
              <w:topLinePunct/>
              <w:adjustRightInd w:val="0"/>
              <w:snapToGrid w:val="0"/>
              <w:jc w:val="center"/>
              <w:rPr>
                <w:rFonts w:ascii="宋体" w:hAnsi="宋体" w:eastAsia="宋体" w:cs="宋体"/>
                <w:szCs w:val="21"/>
              </w:rPr>
            </w:pPr>
          </w:p>
        </w:tc>
        <w:tc>
          <w:tcPr>
            <w:tcW w:w="1449" w:type="dxa"/>
            <w:vMerge w:val="continue"/>
            <w:shd w:val="clear" w:color="auto" w:fill="auto"/>
            <w:vAlign w:val="center"/>
          </w:tcPr>
          <w:p>
            <w:pPr>
              <w:topLinePunct/>
              <w:adjustRightInd w:val="0"/>
              <w:snapToGrid w:val="0"/>
              <w:jc w:val="center"/>
              <w:rPr>
                <w:rFonts w:ascii="宋体" w:hAnsi="宋体" w:eastAsia="宋体" w:cs="宋体"/>
                <w:szCs w:val="21"/>
              </w:rPr>
            </w:pPr>
          </w:p>
        </w:tc>
        <w:tc>
          <w:tcPr>
            <w:tcW w:w="5985" w:type="dxa"/>
            <w:shd w:val="clear" w:color="auto" w:fill="auto"/>
            <w:vAlign w:val="center"/>
          </w:tcPr>
          <w:p>
            <w:pPr>
              <w:topLinePunct/>
              <w:adjustRightInd w:val="0"/>
              <w:snapToGrid w:val="0"/>
              <w:rPr>
                <w:rFonts w:ascii="宋体" w:hAnsi="宋体" w:eastAsia="宋体" w:cs="宋体"/>
                <w:kern w:val="0"/>
                <w:szCs w:val="21"/>
              </w:rPr>
            </w:pPr>
            <w:r>
              <w:rPr>
                <w:rFonts w:hint="eastAsia" w:ascii="宋体" w:hAnsi="宋体" w:eastAsia="宋体" w:cs="宋体"/>
                <w:kern w:val="0"/>
                <w:szCs w:val="21"/>
              </w:rPr>
              <w:t>投标人获得市级或以上工程造价管理办公室颁发的年度工程造价优秀企业的得3分，无提供证明文件不得分。</w:t>
            </w:r>
          </w:p>
        </w:tc>
        <w:tc>
          <w:tcPr>
            <w:tcW w:w="1600" w:type="dxa"/>
            <w:shd w:val="clear" w:color="auto" w:fill="auto"/>
            <w:vAlign w:val="center"/>
          </w:tcPr>
          <w:p>
            <w:pPr>
              <w:topLinePunct/>
              <w:adjustRightInd w:val="0"/>
              <w:snapToGrid w:val="0"/>
              <w:jc w:val="center"/>
              <w:rPr>
                <w:rFonts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7" w:hRule="atLeast"/>
          <w:jc w:val="center"/>
        </w:trPr>
        <w:tc>
          <w:tcPr>
            <w:tcW w:w="813" w:type="dxa"/>
            <w:shd w:val="clear" w:color="auto" w:fill="auto"/>
            <w:vAlign w:val="center"/>
          </w:tcPr>
          <w:p>
            <w:pPr>
              <w:topLinePunct/>
              <w:adjustRightInd w:val="0"/>
              <w:snapToGrid w:val="0"/>
              <w:jc w:val="center"/>
              <w:rPr>
                <w:rFonts w:ascii="宋体" w:hAnsi="宋体" w:eastAsia="宋体" w:cs="宋体"/>
                <w:szCs w:val="21"/>
              </w:rPr>
            </w:pPr>
            <w:r>
              <w:rPr>
                <w:rFonts w:hint="eastAsia" w:ascii="宋体" w:hAnsi="宋体" w:eastAsia="宋体" w:cs="宋体"/>
                <w:szCs w:val="21"/>
              </w:rPr>
              <w:t>3</w:t>
            </w:r>
          </w:p>
        </w:tc>
        <w:tc>
          <w:tcPr>
            <w:tcW w:w="1449" w:type="dxa"/>
            <w:shd w:val="clear" w:color="auto" w:fill="auto"/>
            <w:vAlign w:val="center"/>
          </w:tcPr>
          <w:p>
            <w:pPr>
              <w:topLinePunct/>
              <w:adjustRightInd w:val="0"/>
              <w:snapToGrid w:val="0"/>
              <w:jc w:val="center"/>
              <w:rPr>
                <w:rFonts w:ascii="宋体" w:hAnsi="宋体" w:eastAsia="宋体" w:cs="宋体"/>
                <w:szCs w:val="21"/>
              </w:rPr>
            </w:pPr>
            <w:r>
              <w:rPr>
                <w:rFonts w:hint="eastAsia" w:ascii="宋体" w:hAnsi="宋体" w:eastAsia="宋体" w:cs="宋体"/>
                <w:szCs w:val="21"/>
              </w:rPr>
              <w:t>服务场所</w:t>
            </w:r>
          </w:p>
        </w:tc>
        <w:tc>
          <w:tcPr>
            <w:tcW w:w="5985" w:type="dxa"/>
            <w:shd w:val="clear" w:color="auto" w:fill="auto"/>
            <w:vAlign w:val="center"/>
          </w:tcPr>
          <w:p>
            <w:pPr>
              <w:rPr>
                <w:rFonts w:ascii="宋体" w:hAnsi="宋体" w:eastAsia="宋体" w:cs="宋体"/>
                <w:szCs w:val="21"/>
              </w:rPr>
            </w:pPr>
            <w:r>
              <w:rPr>
                <w:rFonts w:hint="eastAsia" w:ascii="宋体" w:hAnsi="宋体" w:eastAsia="宋体" w:cs="宋体"/>
                <w:szCs w:val="21"/>
              </w:rPr>
              <w:t>根据合格供应商售后点的稳定性及其办公面积进行综合比较打分：</w:t>
            </w:r>
          </w:p>
          <w:p>
            <w:pPr>
              <w:rPr>
                <w:rFonts w:ascii="宋体" w:hAnsi="宋体" w:eastAsia="宋体" w:cs="宋体"/>
                <w:szCs w:val="21"/>
              </w:rPr>
            </w:pPr>
            <w:r>
              <w:rPr>
                <w:rFonts w:hint="eastAsia" w:ascii="宋体" w:hAnsi="宋体" w:eastAsia="宋体" w:cs="宋体"/>
                <w:szCs w:val="21"/>
              </w:rPr>
              <w:t>对各合格供应商的办公场所进行评分，办公面积满</w:t>
            </w:r>
            <w:r>
              <w:rPr>
                <w:rFonts w:ascii="宋体" w:hAnsi="宋体" w:eastAsia="宋体" w:cs="宋体"/>
                <w:szCs w:val="21"/>
              </w:rPr>
              <w:t>3</w:t>
            </w:r>
            <w:r>
              <w:rPr>
                <w:rFonts w:hint="eastAsia" w:ascii="宋体" w:hAnsi="宋体" w:eastAsia="宋体" w:cs="宋体"/>
                <w:szCs w:val="21"/>
              </w:rPr>
              <w:t>00m2的得1分，不足的不得分。</w:t>
            </w:r>
          </w:p>
          <w:p>
            <w:pPr>
              <w:widowControl/>
              <w:ind w:firstLine="420" w:firstLineChars="200"/>
              <w:textAlignment w:val="center"/>
              <w:rPr>
                <w:rFonts w:ascii="宋体" w:hAnsi="宋体" w:eastAsia="宋体" w:cs="宋体"/>
                <w:szCs w:val="21"/>
              </w:rPr>
            </w:pPr>
            <w:r>
              <w:rPr>
                <w:rFonts w:hint="eastAsia" w:ascii="宋体" w:hAnsi="宋体" w:eastAsia="宋体" w:cs="宋体"/>
                <w:szCs w:val="21"/>
              </w:rPr>
              <w:t>注：须提供自有房产的提供自有房产证明复印件，服务场所租赁的，提供租赁合同复印件。房屋租赁合同时间必须在本项目发布采购公告之日前为有效证明，其余则视为无效证明。</w:t>
            </w:r>
          </w:p>
        </w:tc>
        <w:tc>
          <w:tcPr>
            <w:tcW w:w="1600" w:type="dxa"/>
            <w:shd w:val="clear" w:color="auto" w:fill="auto"/>
            <w:vAlign w:val="center"/>
          </w:tcPr>
          <w:p>
            <w:pPr>
              <w:topLinePunct/>
              <w:adjustRightInd w:val="0"/>
              <w:snapToGrid w:val="0"/>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5" w:hRule="atLeast"/>
          <w:jc w:val="center"/>
        </w:trPr>
        <w:tc>
          <w:tcPr>
            <w:tcW w:w="813" w:type="dxa"/>
            <w:shd w:val="clear" w:color="auto" w:fill="auto"/>
            <w:vAlign w:val="center"/>
          </w:tcPr>
          <w:p>
            <w:pPr>
              <w:topLinePunct/>
              <w:adjustRightInd w:val="0"/>
              <w:snapToGrid w:val="0"/>
              <w:jc w:val="center"/>
              <w:rPr>
                <w:rFonts w:ascii="宋体" w:hAnsi="宋体" w:eastAsia="宋体" w:cs="宋体"/>
                <w:szCs w:val="21"/>
              </w:rPr>
            </w:pPr>
            <w:r>
              <w:rPr>
                <w:rFonts w:hint="eastAsia" w:ascii="宋体" w:hAnsi="宋体" w:eastAsia="宋体" w:cs="宋体"/>
                <w:szCs w:val="21"/>
              </w:rPr>
              <w:t>4</w:t>
            </w:r>
          </w:p>
        </w:tc>
        <w:tc>
          <w:tcPr>
            <w:tcW w:w="1449" w:type="dxa"/>
            <w:shd w:val="clear" w:color="auto" w:fill="auto"/>
            <w:vAlign w:val="center"/>
          </w:tcPr>
          <w:p>
            <w:pPr>
              <w:topLinePunct/>
              <w:adjustRightInd w:val="0"/>
              <w:snapToGrid w:val="0"/>
              <w:jc w:val="center"/>
              <w:rPr>
                <w:rFonts w:ascii="宋体" w:hAnsi="宋体" w:eastAsia="宋体" w:cs="宋体"/>
                <w:szCs w:val="21"/>
              </w:rPr>
            </w:pPr>
            <w:r>
              <w:rPr>
                <w:rFonts w:hint="eastAsia" w:ascii="宋体" w:hAnsi="宋体" w:eastAsia="宋体" w:cs="宋体"/>
                <w:szCs w:val="21"/>
              </w:rPr>
              <w:t>同类项目业绩</w:t>
            </w:r>
          </w:p>
        </w:tc>
        <w:tc>
          <w:tcPr>
            <w:tcW w:w="5985" w:type="dxa"/>
            <w:shd w:val="clear" w:color="auto" w:fill="auto"/>
            <w:vAlign w:val="center"/>
          </w:tcPr>
          <w:p>
            <w:pPr>
              <w:topLinePunct/>
              <w:adjustRightInd w:val="0"/>
              <w:snapToGrid w:val="0"/>
              <w:rPr>
                <w:rFonts w:ascii="宋体" w:hAnsi="宋体" w:eastAsia="宋体" w:cs="宋体"/>
                <w:szCs w:val="21"/>
              </w:rPr>
            </w:pPr>
            <w:r>
              <w:rPr>
                <w:rFonts w:hint="eastAsia" w:ascii="宋体" w:hAnsi="宋体" w:eastAsia="宋体" w:cs="宋体"/>
                <w:kern w:val="0"/>
                <w:szCs w:val="21"/>
              </w:rPr>
              <w:t>对2017年以来（以出具时间为准）编制完成政府部门委托的国有资金投资建设工程预(结)算书审核情况对比，单项工程金额50万元（含50万）至1000万元的得0.5分，单项工程额1000万元（含1000万）至5000万元的得3分，单项工程额5000万元（含5000万）至1亿元的得4分，单项工程额1亿元（含1亿）以上的得6分。本项满分为20分。每宗业绩应提供项目委托合同或审定书等证明材料，无提供材料不得分。</w:t>
            </w:r>
            <w:r>
              <w:rPr>
                <w:rStyle w:val="17"/>
                <w:rFonts w:hint="default"/>
                <w:sz w:val="21"/>
                <w:szCs w:val="21"/>
              </w:rPr>
              <w:br w:type="textWrapping"/>
            </w:r>
            <w:r>
              <w:rPr>
                <w:rStyle w:val="18"/>
                <w:rFonts w:hint="default"/>
                <w:sz w:val="21"/>
                <w:szCs w:val="21"/>
              </w:rPr>
              <w:t>（提供中标通知书、合同或批复文件复印件，无提交不得分）。</w:t>
            </w:r>
          </w:p>
        </w:tc>
        <w:tc>
          <w:tcPr>
            <w:tcW w:w="1600" w:type="dxa"/>
            <w:shd w:val="clear" w:color="auto" w:fill="auto"/>
            <w:vAlign w:val="center"/>
          </w:tcPr>
          <w:p>
            <w:pPr>
              <w:topLinePunct/>
              <w:adjustRightInd w:val="0"/>
              <w:snapToGrid w:val="0"/>
              <w:jc w:val="center"/>
              <w:rPr>
                <w:rFonts w:ascii="宋体" w:hAnsi="宋体" w:eastAsia="宋体" w:cs="宋体"/>
                <w:szCs w:val="21"/>
              </w:rPr>
            </w:pPr>
            <w:r>
              <w:rPr>
                <w:rFonts w:ascii="宋体" w:hAnsi="宋体" w:eastAsia="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247" w:type="dxa"/>
            <w:gridSpan w:val="3"/>
            <w:shd w:val="clear" w:color="auto" w:fill="auto"/>
            <w:vAlign w:val="center"/>
          </w:tcPr>
          <w:p>
            <w:pPr>
              <w:topLinePunct/>
              <w:adjustRightInd w:val="0"/>
              <w:snapToGrid w:val="0"/>
              <w:jc w:val="center"/>
              <w:rPr>
                <w:rFonts w:ascii="宋体" w:hAnsi="宋体" w:eastAsia="宋体" w:cs="宋体"/>
                <w:szCs w:val="21"/>
              </w:rPr>
            </w:pPr>
            <w:r>
              <w:rPr>
                <w:rFonts w:hint="eastAsia" w:ascii="宋体" w:hAnsi="宋体" w:eastAsia="宋体" w:cs="宋体"/>
                <w:szCs w:val="21"/>
              </w:rPr>
              <w:t>合计</w:t>
            </w:r>
          </w:p>
        </w:tc>
        <w:tc>
          <w:tcPr>
            <w:tcW w:w="1600" w:type="dxa"/>
            <w:shd w:val="clear" w:color="auto" w:fill="auto"/>
            <w:vAlign w:val="center"/>
          </w:tcPr>
          <w:p>
            <w:pPr>
              <w:topLinePunct/>
              <w:adjustRightInd w:val="0"/>
              <w:snapToGrid w:val="0"/>
              <w:jc w:val="center"/>
              <w:rPr>
                <w:rFonts w:ascii="宋体" w:hAnsi="宋体" w:eastAsia="宋体" w:cs="宋体"/>
                <w:szCs w:val="21"/>
              </w:rPr>
            </w:pPr>
            <w:r>
              <w:rPr>
                <w:rFonts w:hint="eastAsia" w:ascii="宋体" w:hAnsi="宋体" w:eastAsia="宋体" w:cs="宋体"/>
                <w:szCs w:val="21"/>
              </w:rPr>
              <w:t>30</w:t>
            </w:r>
          </w:p>
        </w:tc>
      </w:tr>
      <w:bookmarkEnd w:id="3"/>
    </w:tbl>
    <w:p>
      <w:pPr>
        <w:spacing w:line="360" w:lineRule="auto"/>
        <w:jc w:val="center"/>
        <w:rPr>
          <w:rFonts w:ascii="宋体" w:hAnsi="宋体" w:eastAsia="宋体" w:cs="宋体"/>
          <w:b/>
          <w:color w:val="FF0000"/>
          <w:sz w:val="24"/>
        </w:rPr>
      </w:pPr>
    </w:p>
    <w:p>
      <w:pPr>
        <w:spacing w:line="360" w:lineRule="auto"/>
        <w:rPr>
          <w:rFonts w:ascii="宋体" w:hAnsi="宋体" w:eastAsia="宋体" w:cs="宋体"/>
          <w:b/>
          <w:sz w:val="24"/>
        </w:rPr>
      </w:pPr>
    </w:p>
    <w:p>
      <w:pPr>
        <w:spacing w:line="360" w:lineRule="auto"/>
        <w:rPr>
          <w:rFonts w:ascii="宋体" w:hAnsi="宋体" w:eastAsia="宋体" w:cs="宋体"/>
          <w:b/>
          <w:sz w:val="24"/>
        </w:rPr>
      </w:pPr>
    </w:p>
    <w:p>
      <w:pPr>
        <w:spacing w:line="360" w:lineRule="auto"/>
        <w:jc w:val="both"/>
        <w:rPr>
          <w:rFonts w:ascii="宋体" w:hAnsi="宋体" w:eastAsia="宋体" w:cs="宋体"/>
          <w:kern w:val="0"/>
          <w:sz w:val="24"/>
          <w:lang w:val="en-GB"/>
        </w:rPr>
      </w:pPr>
      <w:r>
        <w:rPr>
          <w:rFonts w:hint="eastAsia" w:ascii="宋体" w:hAnsi="宋体" w:eastAsia="宋体" w:cs="宋体"/>
          <w:b/>
          <w:sz w:val="24"/>
        </w:rPr>
        <w:t>3、价格评分</w:t>
      </w:r>
    </w:p>
    <w:tbl>
      <w:tblPr>
        <w:tblStyle w:val="10"/>
        <w:tblW w:w="9947"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34"/>
        <w:gridCol w:w="6058"/>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35"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eastAsia="宋体" w:cs="宋体"/>
                <w:b/>
                <w:szCs w:val="21"/>
              </w:rPr>
            </w:pPr>
            <w:r>
              <w:rPr>
                <w:rFonts w:hint="eastAsia" w:ascii="宋体" w:hAnsi="宋体" w:eastAsia="宋体" w:cs="宋体"/>
                <w:b/>
                <w:szCs w:val="21"/>
              </w:rPr>
              <w:t>综合</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szCs w:val="21"/>
              </w:rPr>
            </w:pPr>
            <w:r>
              <w:rPr>
                <w:rFonts w:hint="eastAsia" w:ascii="宋体" w:hAnsi="宋体" w:eastAsia="宋体" w:cs="宋体"/>
                <w:b/>
                <w:szCs w:val="21"/>
              </w:rPr>
              <w:t>评分因素及权重</w:t>
            </w:r>
          </w:p>
        </w:tc>
        <w:tc>
          <w:tcPr>
            <w:tcW w:w="6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Cs w:val="21"/>
              </w:rPr>
            </w:pPr>
            <w:r>
              <w:rPr>
                <w:rFonts w:hint="eastAsia" w:ascii="宋体" w:hAnsi="宋体" w:eastAsia="宋体" w:cs="宋体"/>
                <w:b/>
                <w:szCs w:val="21"/>
              </w:rPr>
              <w:t>评分标准</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lang w:eastAsia="zh-CN"/>
              </w:rPr>
            </w:pPr>
            <w:r>
              <w:rPr>
                <w:rFonts w:hint="eastAsia" w:ascii="宋体" w:hAnsi="宋体" w:eastAsia="宋体" w:cs="宋体"/>
                <w:b/>
                <w:szCs w:val="21"/>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trPr>
        <w:tc>
          <w:tcPr>
            <w:tcW w:w="1135"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eastAsia="宋体" w:cs="宋体"/>
                <w:b/>
                <w:sz w:val="28"/>
                <w:szCs w:val="28"/>
              </w:rPr>
            </w:pPr>
            <w:r>
              <w:rPr>
                <w:rFonts w:hint="eastAsia" w:ascii="宋体" w:hAnsi="宋体" w:eastAsia="宋体" w:cs="宋体"/>
                <w:b/>
                <w:sz w:val="28"/>
                <w:szCs w:val="28"/>
              </w:rPr>
              <w:t>价格</w:t>
            </w:r>
          </w:p>
          <w:p>
            <w:pPr>
              <w:ind w:firstLine="28"/>
              <w:jc w:val="center"/>
              <w:rPr>
                <w:rFonts w:ascii="宋体" w:hAnsi="宋体" w:eastAsia="宋体" w:cs="宋体"/>
                <w:sz w:val="28"/>
                <w:szCs w:val="28"/>
              </w:rPr>
            </w:pPr>
            <w:r>
              <w:rPr>
                <w:rFonts w:hint="eastAsia" w:ascii="宋体" w:hAnsi="宋体" w:eastAsia="宋体" w:cs="宋体"/>
                <w:b/>
                <w:sz w:val="28"/>
                <w:szCs w:val="28"/>
              </w:rPr>
              <w:t>15分</w:t>
            </w:r>
          </w:p>
        </w:tc>
        <w:tc>
          <w:tcPr>
            <w:tcW w:w="1134"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eastAsia="宋体" w:cs="宋体"/>
                <w:sz w:val="24"/>
                <w:lang w:val="en-GB"/>
              </w:rPr>
            </w:pPr>
            <w:r>
              <w:rPr>
                <w:rFonts w:hint="eastAsia" w:ascii="宋体" w:hAnsi="宋体" w:eastAsia="宋体" w:cs="宋体"/>
                <w:sz w:val="24"/>
                <w:lang w:val="en-GB"/>
              </w:rPr>
              <w:t>价格</w:t>
            </w:r>
          </w:p>
          <w:p>
            <w:pPr>
              <w:ind w:firstLine="28"/>
              <w:jc w:val="center"/>
              <w:rPr>
                <w:rFonts w:ascii="宋体" w:hAnsi="宋体" w:eastAsia="宋体" w:cs="宋体"/>
                <w:sz w:val="24"/>
                <w:lang w:val="en-GB"/>
              </w:rPr>
            </w:pPr>
            <w:r>
              <w:rPr>
                <w:rFonts w:hint="eastAsia" w:ascii="宋体" w:hAnsi="宋体" w:eastAsia="宋体" w:cs="宋体"/>
                <w:sz w:val="24"/>
                <w:lang w:val="en-GB"/>
              </w:rPr>
              <w:t>（</w:t>
            </w:r>
            <w:r>
              <w:rPr>
                <w:rFonts w:hint="eastAsia" w:ascii="宋体" w:hAnsi="宋体" w:eastAsia="宋体" w:cs="宋体"/>
                <w:sz w:val="24"/>
              </w:rPr>
              <w:t>下浮率</w:t>
            </w:r>
            <w:r>
              <w:rPr>
                <w:rFonts w:hint="eastAsia" w:ascii="宋体" w:hAnsi="宋体" w:eastAsia="宋体" w:cs="宋体"/>
                <w:sz w:val="24"/>
                <w:lang w:val="en-GB"/>
              </w:rPr>
              <w:t>）</w:t>
            </w:r>
          </w:p>
        </w:tc>
        <w:tc>
          <w:tcPr>
            <w:tcW w:w="605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对</w:t>
            </w:r>
            <w:r>
              <w:rPr>
                <w:rFonts w:hint="eastAsia" w:ascii="宋体" w:hAnsi="宋体" w:eastAsia="宋体" w:cs="宋体"/>
                <w:szCs w:val="21"/>
                <w:lang w:eastAsia="zh-CN"/>
              </w:rPr>
              <w:t>需求</w:t>
            </w:r>
            <w:r>
              <w:rPr>
                <w:rFonts w:hint="eastAsia" w:ascii="宋体" w:hAnsi="宋体" w:eastAsia="宋体" w:cs="宋体"/>
                <w:szCs w:val="21"/>
              </w:rPr>
              <w:t>文件做出实质性响应的所有合格供应商中采用低价优先法计算，即通过初审且有效投标下浮率最大的投标下浮率为评标基准下浮率，其价格分为满分。其他合格供应商的价格分统一按照下列公式计算：合格供应商价格（下浮率）得分＝（1-评标基准下浮率）／（1-投标下浮率）×价格满分基数。</w:t>
            </w:r>
          </w:p>
          <w:p>
            <w:pPr>
              <w:jc w:val="center"/>
              <w:rPr>
                <w:rFonts w:ascii="宋体" w:hAnsi="宋体" w:eastAsia="宋体" w:cs="宋体"/>
                <w:sz w:val="24"/>
                <w:lang w:val="en-GB"/>
              </w:rPr>
            </w:pPr>
          </w:p>
        </w:tc>
        <w:tc>
          <w:tcPr>
            <w:tcW w:w="1620"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sz w:val="24"/>
                <w:lang w:val="en-US" w:eastAsia="zh-CN"/>
              </w:rPr>
            </w:pPr>
            <w:r>
              <w:rPr>
                <w:rFonts w:hint="eastAsia" w:ascii="宋体" w:hAnsi="宋体" w:eastAsia="宋体" w:cs="宋体"/>
                <w:sz w:val="24"/>
                <w:lang w:val="en-US" w:eastAsia="zh-CN"/>
              </w:rPr>
              <w:t xml:space="preserve">     15</w:t>
            </w:r>
          </w:p>
        </w:tc>
      </w:tr>
    </w:tbl>
    <w:p>
      <w:pPr>
        <w:autoSpaceDE w:val="0"/>
        <w:autoSpaceDN w:val="0"/>
        <w:spacing w:line="500" w:lineRule="exact"/>
        <w:rPr>
          <w:rFonts w:ascii="仿宋_GB2312" w:hAnsi="宋体" w:eastAsia="仿宋_GB2312"/>
          <w:sz w:val="28"/>
          <w:szCs w:val="28"/>
        </w:rPr>
      </w:pPr>
    </w:p>
    <w:p>
      <w:pPr>
        <w:autoSpaceDE w:val="0"/>
        <w:autoSpaceDN w:val="0"/>
        <w:spacing w:line="500" w:lineRule="exact"/>
      </w:pPr>
    </w:p>
    <w:p>
      <w:pPr>
        <w:autoSpaceDE w:val="0"/>
        <w:autoSpaceDN w:val="0"/>
        <w:adjustRightInd w:val="0"/>
        <w:snapToGrid w:val="0"/>
        <w:spacing w:line="360" w:lineRule="auto"/>
        <w:ind w:firstLine="360" w:firstLineChars="150"/>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3219"/>
      <w:docPartObj>
        <w:docPartGallery w:val="autotext"/>
      </w:docPartObj>
    </w:sdtPr>
    <w:sdtContent>
      <w:p>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414A4"/>
    <w:multiLevelType w:val="singleLevel"/>
    <w:tmpl w:val="6BC414A4"/>
    <w:lvl w:ilvl="0" w:tentative="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285DE4"/>
    <w:rsid w:val="000240BA"/>
    <w:rsid w:val="00034216"/>
    <w:rsid w:val="00052C75"/>
    <w:rsid w:val="00061B75"/>
    <w:rsid w:val="000813A8"/>
    <w:rsid w:val="000A2D4B"/>
    <w:rsid w:val="000C11E2"/>
    <w:rsid w:val="00131D42"/>
    <w:rsid w:val="001320E3"/>
    <w:rsid w:val="001644FA"/>
    <w:rsid w:val="00173207"/>
    <w:rsid w:val="00192214"/>
    <w:rsid w:val="001A60A0"/>
    <w:rsid w:val="001D2782"/>
    <w:rsid w:val="001D54B1"/>
    <w:rsid w:val="001D5FE6"/>
    <w:rsid w:val="001F4941"/>
    <w:rsid w:val="00203C4C"/>
    <w:rsid w:val="00206821"/>
    <w:rsid w:val="00226354"/>
    <w:rsid w:val="002326A9"/>
    <w:rsid w:val="002464EB"/>
    <w:rsid w:val="00277B80"/>
    <w:rsid w:val="00280CBD"/>
    <w:rsid w:val="00343104"/>
    <w:rsid w:val="00380A6A"/>
    <w:rsid w:val="00392BE3"/>
    <w:rsid w:val="003D7D5F"/>
    <w:rsid w:val="00404D32"/>
    <w:rsid w:val="00426042"/>
    <w:rsid w:val="00442601"/>
    <w:rsid w:val="004530A3"/>
    <w:rsid w:val="00486B46"/>
    <w:rsid w:val="004A511C"/>
    <w:rsid w:val="004D5DA1"/>
    <w:rsid w:val="005066B8"/>
    <w:rsid w:val="00524B30"/>
    <w:rsid w:val="005614C1"/>
    <w:rsid w:val="00566400"/>
    <w:rsid w:val="0057161B"/>
    <w:rsid w:val="005728CD"/>
    <w:rsid w:val="005C300F"/>
    <w:rsid w:val="005D6F0E"/>
    <w:rsid w:val="005E6261"/>
    <w:rsid w:val="00601582"/>
    <w:rsid w:val="006913BE"/>
    <w:rsid w:val="006B4B73"/>
    <w:rsid w:val="006C16ED"/>
    <w:rsid w:val="00710ED3"/>
    <w:rsid w:val="00713CE5"/>
    <w:rsid w:val="00775702"/>
    <w:rsid w:val="00810C27"/>
    <w:rsid w:val="008B7608"/>
    <w:rsid w:val="008E1417"/>
    <w:rsid w:val="008F708E"/>
    <w:rsid w:val="00900609"/>
    <w:rsid w:val="00906CBC"/>
    <w:rsid w:val="00957A15"/>
    <w:rsid w:val="00962DEE"/>
    <w:rsid w:val="00981C93"/>
    <w:rsid w:val="009A3516"/>
    <w:rsid w:val="009A7AD5"/>
    <w:rsid w:val="00A26E6F"/>
    <w:rsid w:val="00AD5D16"/>
    <w:rsid w:val="00AE73C3"/>
    <w:rsid w:val="00B177C3"/>
    <w:rsid w:val="00B47E13"/>
    <w:rsid w:val="00BA3560"/>
    <w:rsid w:val="00BC4AA8"/>
    <w:rsid w:val="00BD0DEC"/>
    <w:rsid w:val="00BF7726"/>
    <w:rsid w:val="00C300AB"/>
    <w:rsid w:val="00C362BA"/>
    <w:rsid w:val="00C40E61"/>
    <w:rsid w:val="00C412AE"/>
    <w:rsid w:val="00C97846"/>
    <w:rsid w:val="00CB55DF"/>
    <w:rsid w:val="00D429A3"/>
    <w:rsid w:val="00D43A3D"/>
    <w:rsid w:val="00D82637"/>
    <w:rsid w:val="00D8550E"/>
    <w:rsid w:val="00DB4EA9"/>
    <w:rsid w:val="00DC614C"/>
    <w:rsid w:val="00DF4F92"/>
    <w:rsid w:val="00E33949"/>
    <w:rsid w:val="00EE42AD"/>
    <w:rsid w:val="00EE5F44"/>
    <w:rsid w:val="00EF4F45"/>
    <w:rsid w:val="00F67DCB"/>
    <w:rsid w:val="00F9214F"/>
    <w:rsid w:val="00FB2E7A"/>
    <w:rsid w:val="00FE3CFB"/>
    <w:rsid w:val="01D512BE"/>
    <w:rsid w:val="02D746ED"/>
    <w:rsid w:val="04E9316E"/>
    <w:rsid w:val="05C716D8"/>
    <w:rsid w:val="06B51F55"/>
    <w:rsid w:val="06B74736"/>
    <w:rsid w:val="07552492"/>
    <w:rsid w:val="0B050883"/>
    <w:rsid w:val="13805E97"/>
    <w:rsid w:val="13A445FF"/>
    <w:rsid w:val="152F4B56"/>
    <w:rsid w:val="16745EF5"/>
    <w:rsid w:val="1B047442"/>
    <w:rsid w:val="27F5327C"/>
    <w:rsid w:val="29EF409A"/>
    <w:rsid w:val="2F6A6B8A"/>
    <w:rsid w:val="2FFE2069"/>
    <w:rsid w:val="31606A04"/>
    <w:rsid w:val="32705B25"/>
    <w:rsid w:val="346F341B"/>
    <w:rsid w:val="3993467E"/>
    <w:rsid w:val="3BBA5B59"/>
    <w:rsid w:val="3CB67E75"/>
    <w:rsid w:val="3D9B02AC"/>
    <w:rsid w:val="4A4E01B5"/>
    <w:rsid w:val="4D212616"/>
    <w:rsid w:val="4E285DE4"/>
    <w:rsid w:val="548B2806"/>
    <w:rsid w:val="56F33387"/>
    <w:rsid w:val="640D5315"/>
    <w:rsid w:val="64434153"/>
    <w:rsid w:val="65E96541"/>
    <w:rsid w:val="66565254"/>
    <w:rsid w:val="68730263"/>
    <w:rsid w:val="6AE4741D"/>
    <w:rsid w:val="6AF00606"/>
    <w:rsid w:val="6DAB115D"/>
    <w:rsid w:val="72D264EE"/>
    <w:rsid w:val="78B37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iPriority="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Normal Indent"/>
    <w:basedOn w:val="1"/>
    <w:link w:val="19"/>
    <w:qFormat/>
    <w:uiPriority w:val="0"/>
    <w:pPr>
      <w:ind w:firstLine="420"/>
    </w:pPr>
    <w:rPr>
      <w:rFonts w:eastAsia="宋体"/>
    </w:rPr>
  </w:style>
  <w:style w:type="paragraph" w:styleId="4">
    <w:name w:val="annotation text"/>
    <w:basedOn w:val="1"/>
    <w:link w:val="26"/>
    <w:semiHidden/>
    <w:unhideWhenUsed/>
    <w:qFormat/>
    <w:uiPriority w:val="99"/>
    <w:pPr>
      <w:jc w:val="left"/>
    </w:pPr>
    <w:rPr>
      <w:rFonts w:ascii="等线" w:hAnsi="等线" w:eastAsia="等线" w:cs="Times New Roman"/>
      <w:szCs w:val="22"/>
    </w:rPr>
  </w:style>
  <w:style w:type="paragraph" w:styleId="5">
    <w:name w:val="Plain Text"/>
    <w:basedOn w:val="1"/>
    <w:qFormat/>
    <w:uiPriority w:val="0"/>
    <w:rPr>
      <w:rFonts w:ascii="宋体" w:hAnsi="Courier New" w:eastAsia="宋体" w:cs="Courier New"/>
      <w:szCs w:val="21"/>
    </w:rPr>
  </w:style>
  <w:style w:type="paragraph" w:styleId="6">
    <w:name w:val="Date"/>
    <w:basedOn w:val="1"/>
    <w:next w:val="1"/>
    <w:link w:val="20"/>
    <w:qFormat/>
    <w:uiPriority w:val="0"/>
    <w:pPr>
      <w:ind w:left="100" w:leftChars="2500"/>
    </w:pPr>
  </w:style>
  <w:style w:type="paragraph" w:styleId="7">
    <w:name w:val="Balloon Text"/>
    <w:basedOn w:val="1"/>
    <w:link w:val="25"/>
    <w:semiHidden/>
    <w:unhideWhenUsed/>
    <w:qFormat/>
    <w:uiPriority w:val="0"/>
    <w:rPr>
      <w:sz w:val="18"/>
      <w:szCs w:val="18"/>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0"/>
  </w:style>
  <w:style w:type="character" w:styleId="13">
    <w:name w:val="annotation reference"/>
    <w:qFormat/>
    <w:uiPriority w:val="99"/>
    <w:rPr>
      <w:sz w:val="21"/>
      <w:szCs w:val="21"/>
    </w:rPr>
  </w:style>
  <w:style w:type="paragraph" w:customStyle="1" w:styleId="14">
    <w:name w:val="正文 New New New New New New New New New New New New New New New New New New New New New New"/>
    <w:qFormat/>
    <w:uiPriority w:val="0"/>
    <w:pPr>
      <w:widowControl w:val="0"/>
      <w:adjustRightInd w:val="0"/>
      <w:spacing w:line="312" w:lineRule="atLeast"/>
      <w:jc w:val="both"/>
      <w:textAlignment w:val="baseline"/>
    </w:pPr>
    <w:rPr>
      <w:rFonts w:asciiTheme="minorHAnsi" w:hAnsiTheme="minorHAnsi" w:eastAsiaTheme="minorEastAsia" w:cstheme="minorBidi"/>
      <w:sz w:val="21"/>
      <w:szCs w:val="22"/>
      <w:lang w:val="en-US" w:eastAsia="zh-CN" w:bidi="ar-SA"/>
    </w:rPr>
  </w:style>
  <w:style w:type="character" w:customStyle="1" w:styleId="15">
    <w:name w:val="txt1"/>
    <w:qFormat/>
    <w:uiPriority w:val="0"/>
    <w:rPr>
      <w:rFonts w:ascii="宋体" w:hAnsi="宋体" w:eastAsia="仿宋_GB2312" w:cs="宋体"/>
      <w:color w:val="000000"/>
      <w:spacing w:val="6"/>
      <w:kern w:val="2"/>
      <w:sz w:val="18"/>
      <w:szCs w:val="18"/>
      <w:u w:val="none"/>
      <w:lang w:val="en-US" w:eastAsia="zh-CN" w:bidi="ar-SA"/>
    </w:rPr>
  </w:style>
  <w:style w:type="character" w:customStyle="1" w:styleId="16">
    <w:name w:val="tpc_content1"/>
    <w:basedOn w:val="11"/>
    <w:qFormat/>
    <w:uiPriority w:val="0"/>
    <w:rPr>
      <w:rFonts w:ascii="宋体" w:hAnsi="宋体" w:eastAsia="仿宋_GB2312" w:cs="宋体"/>
      <w:color w:val="FF0000"/>
      <w:spacing w:val="6"/>
      <w:kern w:val="2"/>
      <w:sz w:val="26"/>
      <w:szCs w:val="26"/>
      <w:lang w:val="en-US" w:eastAsia="zh-CN" w:bidi="ar-SA"/>
    </w:rPr>
  </w:style>
  <w:style w:type="character" w:customStyle="1" w:styleId="17">
    <w:name w:val="font21"/>
    <w:qFormat/>
    <w:uiPriority w:val="0"/>
    <w:rPr>
      <w:rFonts w:hint="eastAsia" w:ascii="宋体" w:hAnsi="宋体" w:eastAsia="宋体" w:cs="宋体"/>
      <w:color w:val="000000"/>
      <w:sz w:val="24"/>
      <w:szCs w:val="24"/>
      <w:u w:val="none"/>
    </w:rPr>
  </w:style>
  <w:style w:type="character" w:customStyle="1" w:styleId="18">
    <w:name w:val="font11"/>
    <w:qFormat/>
    <w:uiPriority w:val="0"/>
    <w:rPr>
      <w:rFonts w:hint="eastAsia" w:ascii="宋体" w:hAnsi="宋体" w:eastAsia="宋体" w:cs="宋体"/>
      <w:b/>
      <w:color w:val="000000"/>
      <w:sz w:val="24"/>
      <w:szCs w:val="24"/>
      <w:u w:val="none"/>
    </w:rPr>
  </w:style>
  <w:style w:type="character" w:customStyle="1" w:styleId="19">
    <w:name w:val="正文缩进 Char"/>
    <w:link w:val="3"/>
    <w:qFormat/>
    <w:uiPriority w:val="0"/>
    <w:rPr>
      <w:rFonts w:eastAsia="宋体"/>
      <w:kern w:val="2"/>
      <w:sz w:val="21"/>
      <w:szCs w:val="24"/>
    </w:rPr>
  </w:style>
  <w:style w:type="character" w:customStyle="1" w:styleId="20">
    <w:name w:val="日期 Char"/>
    <w:basedOn w:val="11"/>
    <w:link w:val="6"/>
    <w:qFormat/>
    <w:uiPriority w:val="0"/>
    <w:rPr>
      <w:kern w:val="2"/>
      <w:sz w:val="21"/>
      <w:szCs w:val="24"/>
    </w:rPr>
  </w:style>
  <w:style w:type="character" w:customStyle="1" w:styleId="21">
    <w:name w:val="页眉 Char"/>
    <w:basedOn w:val="11"/>
    <w:link w:val="9"/>
    <w:qFormat/>
    <w:uiPriority w:val="0"/>
    <w:rPr>
      <w:kern w:val="2"/>
      <w:sz w:val="18"/>
      <w:szCs w:val="18"/>
    </w:rPr>
  </w:style>
  <w:style w:type="character" w:customStyle="1" w:styleId="22">
    <w:name w:val="页脚 Char"/>
    <w:basedOn w:val="11"/>
    <w:link w:val="8"/>
    <w:qFormat/>
    <w:uiPriority w:val="99"/>
    <w:rPr>
      <w:kern w:val="2"/>
      <w:sz w:val="18"/>
      <w:szCs w:val="18"/>
    </w:rPr>
  </w:style>
  <w:style w:type="paragraph" w:styleId="23">
    <w:name w:val="List Paragraph"/>
    <w:basedOn w:val="1"/>
    <w:unhideWhenUsed/>
    <w:qFormat/>
    <w:uiPriority w:val="99"/>
    <w:pPr>
      <w:ind w:firstLine="420" w:firstLineChars="200"/>
    </w:pPr>
  </w:style>
  <w:style w:type="paragraph" w:styleId="24">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25">
    <w:name w:val="批注框文本 Char"/>
    <w:basedOn w:val="11"/>
    <w:link w:val="7"/>
    <w:semiHidden/>
    <w:qFormat/>
    <w:uiPriority w:val="0"/>
    <w:rPr>
      <w:kern w:val="2"/>
      <w:sz w:val="18"/>
      <w:szCs w:val="18"/>
    </w:rPr>
  </w:style>
  <w:style w:type="character" w:customStyle="1" w:styleId="26">
    <w:name w:val="批注文字 Char"/>
    <w:basedOn w:val="11"/>
    <w:link w:val="4"/>
    <w:semiHidden/>
    <w:qFormat/>
    <w:uiPriority w:val="99"/>
    <w:rPr>
      <w:rFonts w:ascii="等线" w:hAnsi="等线" w:eastAsia="等线" w:cs="Times New Roman"/>
      <w:kern w:val="2"/>
      <w:sz w:val="21"/>
      <w:szCs w:val="22"/>
    </w:rPr>
  </w:style>
  <w:style w:type="paragraph" w:customStyle="1" w:styleId="27">
    <w:name w:val="Body text|2"/>
    <w:basedOn w:val="1"/>
    <w:qFormat/>
    <w:uiPriority w:val="0"/>
    <w:pPr>
      <w:spacing w:after="120"/>
      <w:ind w:firstLine="680"/>
      <w:jc w:val="left"/>
    </w:pPr>
    <w:rPr>
      <w:rFonts w:ascii="宋体" w:hAnsi="宋体" w:eastAsia="宋体" w:cs="宋体"/>
      <w:color w:val="000000"/>
      <w:kern w:val="0"/>
      <w:sz w:val="16"/>
      <w:szCs w:val="16"/>
      <w:lang w:val="zh-TW" w:eastAsia="zh-TW" w:bidi="zh-TW"/>
    </w:rPr>
  </w:style>
  <w:style w:type="paragraph" w:customStyle="1" w:styleId="28">
    <w:name w:val="Body text|1"/>
    <w:basedOn w:val="1"/>
    <w:qFormat/>
    <w:uiPriority w:val="0"/>
    <w:pPr>
      <w:spacing w:after="60" w:line="334" w:lineRule="auto"/>
      <w:ind w:firstLine="400"/>
      <w:jc w:val="left"/>
    </w:pPr>
    <w:rPr>
      <w:rFonts w:ascii="宋体" w:hAnsi="宋体" w:eastAsia="宋体" w:cs="宋体"/>
      <w:color w:val="000000"/>
      <w:kern w:val="0"/>
      <w:sz w:val="20"/>
      <w:szCs w:val="2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582B35-BDFC-48FE-B4B1-ABC0AC4025A6}">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5711</Words>
  <Characters>442</Characters>
  <Lines>3</Lines>
  <Paragraphs>12</Paragraphs>
  <TotalTime>3</TotalTime>
  <ScaleCrop>false</ScaleCrop>
  <LinksUpToDate>false</LinksUpToDate>
  <CharactersWithSpaces>6141</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2020-02-20T07:09:00Z</dcterms:created>
  <dc:creator>Administrator</dc:creator>
  <cp:lastModifiedBy>Administrator</cp:lastModifiedBy>
  <cp:lastPrinted>2020-02-20T07:15:00Z</cp:lastPrinted>
  <dcterms:modified xsi:type="dcterms:W3CDTF">2020-02-27T01:42:25Z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